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77F79" w14:textId="1A2242DC" w:rsidR="008C203C" w:rsidRDefault="000B1115" w:rsidP="00F71B1D">
      <w:pPr>
        <w:spacing w:after="0" w:line="240" w:lineRule="auto"/>
        <w:ind w:left="-432" w:right="-288"/>
        <w:jc w:val="right"/>
        <w:rPr>
          <w:b/>
          <w:sz w:val="40"/>
          <w:szCs w:val="40"/>
        </w:rPr>
      </w:pPr>
      <w:bookmarkStart w:id="0" w:name="_GoBack"/>
      <w:bookmarkEnd w:id="0"/>
      <w:r>
        <w:rPr>
          <w:noProof/>
        </w:rPr>
        <w:drawing>
          <wp:anchor distT="0" distB="0" distL="114300" distR="114300" simplePos="0" relativeHeight="251661312" behindDoc="1" locked="0" layoutInCell="1" allowOverlap="1" wp14:anchorId="0A6E75BF" wp14:editId="494B9053">
            <wp:simplePos x="0" y="0"/>
            <wp:positionH relativeFrom="column">
              <wp:posOffset>-324485</wp:posOffset>
            </wp:positionH>
            <wp:positionV relativeFrom="paragraph">
              <wp:posOffset>-158962</wp:posOffset>
            </wp:positionV>
            <wp:extent cx="26479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D5D">
        <w:rPr>
          <w:b/>
          <w:sz w:val="40"/>
          <w:szCs w:val="40"/>
        </w:rPr>
        <w:t>SNAP</w:t>
      </w:r>
      <w:r w:rsidR="002C33D9">
        <w:rPr>
          <w:b/>
          <w:sz w:val="40"/>
          <w:szCs w:val="40"/>
        </w:rPr>
        <w:t xml:space="preserve"> / </w:t>
      </w:r>
      <w:r w:rsidR="00BF34C0">
        <w:rPr>
          <w:b/>
          <w:sz w:val="40"/>
          <w:szCs w:val="40"/>
        </w:rPr>
        <w:t>CalFresh</w:t>
      </w:r>
      <w:r w:rsidR="002A3919" w:rsidRPr="00EB4C9F">
        <w:rPr>
          <w:b/>
          <w:sz w:val="40"/>
          <w:szCs w:val="40"/>
        </w:rPr>
        <w:t xml:space="preserve"> ABAWD</w:t>
      </w:r>
      <w:r w:rsidR="00EB4C9F" w:rsidRPr="00EB4C9F">
        <w:rPr>
          <w:b/>
          <w:sz w:val="40"/>
          <w:szCs w:val="40"/>
        </w:rPr>
        <w:t xml:space="preserve"> </w:t>
      </w:r>
      <w:r w:rsidR="00BD4A90">
        <w:rPr>
          <w:b/>
          <w:sz w:val="40"/>
          <w:szCs w:val="40"/>
        </w:rPr>
        <w:t>Time Limit</w:t>
      </w:r>
    </w:p>
    <w:p w14:paraId="4E2D2EE4" w14:textId="5ABEF3BB" w:rsidR="00717226" w:rsidRPr="00EB4C9F" w:rsidRDefault="004D77EC" w:rsidP="00F71B1D">
      <w:pPr>
        <w:spacing w:after="0" w:line="240" w:lineRule="auto"/>
        <w:ind w:left="-432" w:right="-288"/>
        <w:jc w:val="right"/>
        <w:rPr>
          <w:rFonts w:ascii="Times New Roman" w:hAnsi="Times New Roman"/>
          <w:sz w:val="40"/>
          <w:szCs w:val="40"/>
        </w:rPr>
      </w:pPr>
      <w:r>
        <w:rPr>
          <w:b/>
          <w:sz w:val="40"/>
          <w:szCs w:val="40"/>
        </w:rPr>
        <w:t>Final Rule</w:t>
      </w:r>
      <w:r w:rsidR="00BF34C0">
        <w:rPr>
          <w:b/>
          <w:sz w:val="40"/>
          <w:szCs w:val="40"/>
        </w:rPr>
        <w:t xml:space="preserve"> Implementation</w:t>
      </w:r>
    </w:p>
    <w:p w14:paraId="6F4B035C" w14:textId="5EF56AB5" w:rsidR="00C61FA6" w:rsidRPr="00717226" w:rsidRDefault="0085527B" w:rsidP="00717226">
      <w:pPr>
        <w:spacing w:after="0" w:line="240" w:lineRule="auto"/>
        <w:ind w:left="-432" w:right="-288"/>
        <w:jc w:val="right"/>
        <w:rPr>
          <w:i/>
          <w:sz w:val="36"/>
          <w:szCs w:val="36"/>
        </w:rPr>
      </w:pPr>
      <w:r>
        <w:rPr>
          <w:i/>
          <w:sz w:val="36"/>
          <w:szCs w:val="36"/>
        </w:rPr>
        <w:t>February</w:t>
      </w:r>
      <w:r w:rsidR="002C33D9">
        <w:rPr>
          <w:i/>
          <w:sz w:val="36"/>
          <w:szCs w:val="36"/>
        </w:rPr>
        <w:t xml:space="preserve"> 2020</w:t>
      </w:r>
    </w:p>
    <w:p w14:paraId="31A6535A" w14:textId="77777777" w:rsidR="00464D6A" w:rsidRPr="00AD393F" w:rsidRDefault="00464D6A" w:rsidP="001A4149">
      <w:pPr>
        <w:spacing w:after="0" w:line="240" w:lineRule="auto"/>
        <w:ind w:left="-288" w:right="-288"/>
        <w:jc w:val="both"/>
        <w:rPr>
          <w:sz w:val="16"/>
          <w:szCs w:val="16"/>
        </w:rPr>
      </w:pPr>
    </w:p>
    <w:p w14:paraId="1E925853" w14:textId="6A9928DE" w:rsidR="00BF34C0" w:rsidRPr="00E17C69" w:rsidRDefault="00486D5D" w:rsidP="001A4149">
      <w:pPr>
        <w:spacing w:after="0" w:line="240" w:lineRule="auto"/>
        <w:ind w:left="-288" w:right="-288"/>
        <w:jc w:val="both"/>
        <w:rPr>
          <w:sz w:val="24"/>
          <w:szCs w:val="24"/>
        </w:rPr>
      </w:pPr>
      <w:r w:rsidRPr="00E17C69">
        <w:rPr>
          <w:sz w:val="24"/>
          <w:szCs w:val="24"/>
        </w:rPr>
        <w:t>Supplemental Nutrition Assistance Program (SNAP</w:t>
      </w:r>
      <w:r w:rsidR="00F17245" w:rsidRPr="00E17C69">
        <w:rPr>
          <w:sz w:val="24"/>
          <w:szCs w:val="24"/>
        </w:rPr>
        <w:t>, or CalFresh in California</w:t>
      </w:r>
      <w:r w:rsidRPr="00E17C69">
        <w:rPr>
          <w:sz w:val="24"/>
          <w:szCs w:val="24"/>
        </w:rPr>
        <w:t>)</w:t>
      </w:r>
      <w:r w:rsidR="00C61FA6" w:rsidRPr="00E17C69">
        <w:rPr>
          <w:sz w:val="24"/>
          <w:szCs w:val="24"/>
        </w:rPr>
        <w:t xml:space="preserve"> recipients</w:t>
      </w:r>
      <w:r w:rsidR="0083126E" w:rsidRPr="00E17C69">
        <w:rPr>
          <w:sz w:val="24"/>
          <w:szCs w:val="24"/>
        </w:rPr>
        <w:t xml:space="preserve"> between the ages of 1</w:t>
      </w:r>
      <w:r w:rsidR="00EB4C9F" w:rsidRPr="00E17C69">
        <w:rPr>
          <w:sz w:val="24"/>
          <w:szCs w:val="24"/>
        </w:rPr>
        <w:t xml:space="preserve">8 and 49 who do not reside with a child under 18 </w:t>
      </w:r>
      <w:r w:rsidR="009C1DDB" w:rsidRPr="00E17C69">
        <w:rPr>
          <w:sz w:val="24"/>
          <w:szCs w:val="24"/>
        </w:rPr>
        <w:t xml:space="preserve">and do not have a documented disability </w:t>
      </w:r>
      <w:r w:rsidR="0083126E" w:rsidRPr="00E17C69">
        <w:rPr>
          <w:sz w:val="24"/>
          <w:szCs w:val="24"/>
        </w:rPr>
        <w:t>are</w:t>
      </w:r>
      <w:r w:rsidR="00C61FA6" w:rsidRPr="00E17C69">
        <w:rPr>
          <w:sz w:val="24"/>
          <w:szCs w:val="24"/>
        </w:rPr>
        <w:t xml:space="preserve"> </w:t>
      </w:r>
      <w:r w:rsidR="00EB4C9F" w:rsidRPr="00E17C69">
        <w:rPr>
          <w:sz w:val="24"/>
          <w:szCs w:val="24"/>
        </w:rPr>
        <w:t xml:space="preserve">deemed to be </w:t>
      </w:r>
      <w:r w:rsidR="00C61FA6" w:rsidRPr="00E17C69">
        <w:rPr>
          <w:sz w:val="24"/>
          <w:szCs w:val="24"/>
        </w:rPr>
        <w:t xml:space="preserve">able-bodied adults without dependents (ABAWD) </w:t>
      </w:r>
      <w:r w:rsidR="00EB4C9F" w:rsidRPr="00E17C69">
        <w:rPr>
          <w:sz w:val="24"/>
          <w:szCs w:val="24"/>
        </w:rPr>
        <w:t xml:space="preserve">and </w:t>
      </w:r>
      <w:r w:rsidR="0083126E" w:rsidRPr="00E17C69">
        <w:rPr>
          <w:sz w:val="24"/>
          <w:szCs w:val="24"/>
        </w:rPr>
        <w:t xml:space="preserve">may be subject </w:t>
      </w:r>
      <w:r w:rsidR="00EB4C9F" w:rsidRPr="00E17C69">
        <w:rPr>
          <w:sz w:val="24"/>
          <w:szCs w:val="24"/>
        </w:rPr>
        <w:t>to a 3-month</w:t>
      </w:r>
      <w:r w:rsidR="0083126E" w:rsidRPr="00E17C69">
        <w:rPr>
          <w:sz w:val="24"/>
          <w:szCs w:val="24"/>
        </w:rPr>
        <w:t xml:space="preserve"> time limit</w:t>
      </w:r>
      <w:r w:rsidR="00BF34C0" w:rsidRPr="00E17C69">
        <w:rPr>
          <w:sz w:val="24"/>
          <w:szCs w:val="24"/>
        </w:rPr>
        <w:t xml:space="preserve"> on</w:t>
      </w:r>
      <w:r w:rsidR="001A4149" w:rsidRPr="00E17C69">
        <w:rPr>
          <w:sz w:val="24"/>
          <w:szCs w:val="24"/>
        </w:rPr>
        <w:t xml:space="preserve"> aid</w:t>
      </w:r>
      <w:r w:rsidR="00F17245" w:rsidRPr="00E17C69">
        <w:rPr>
          <w:sz w:val="24"/>
          <w:szCs w:val="24"/>
        </w:rPr>
        <w:t xml:space="preserve"> during a 3</w:t>
      </w:r>
      <w:r w:rsidR="00D66587" w:rsidRPr="00E17C69">
        <w:rPr>
          <w:sz w:val="24"/>
          <w:szCs w:val="24"/>
        </w:rPr>
        <w:t>6</w:t>
      </w:r>
      <w:r w:rsidR="00F17245" w:rsidRPr="00E17C69">
        <w:rPr>
          <w:sz w:val="24"/>
          <w:szCs w:val="24"/>
        </w:rPr>
        <w:t>-</w:t>
      </w:r>
      <w:r w:rsidR="00D66587" w:rsidRPr="00E17C69">
        <w:rPr>
          <w:sz w:val="24"/>
          <w:szCs w:val="24"/>
        </w:rPr>
        <w:t>month</w:t>
      </w:r>
      <w:r w:rsidR="00F17245" w:rsidRPr="00E17C69">
        <w:rPr>
          <w:sz w:val="24"/>
          <w:szCs w:val="24"/>
        </w:rPr>
        <w:t xml:space="preserve"> time period</w:t>
      </w:r>
      <w:r w:rsidR="001A4149" w:rsidRPr="00E17C69">
        <w:rPr>
          <w:sz w:val="24"/>
          <w:szCs w:val="24"/>
        </w:rPr>
        <w:t xml:space="preserve">. </w:t>
      </w:r>
    </w:p>
    <w:p w14:paraId="62662083" w14:textId="77777777" w:rsidR="00BF34C0" w:rsidRPr="00E17C69" w:rsidRDefault="00BF34C0" w:rsidP="001A4149">
      <w:pPr>
        <w:spacing w:after="0" w:line="240" w:lineRule="auto"/>
        <w:ind w:left="-288" w:right="-288"/>
        <w:jc w:val="both"/>
        <w:rPr>
          <w:sz w:val="16"/>
          <w:szCs w:val="16"/>
        </w:rPr>
      </w:pPr>
    </w:p>
    <w:p w14:paraId="4F9FCA18" w14:textId="4B4A93FA" w:rsidR="00BF34C0" w:rsidRPr="00E17C69" w:rsidRDefault="00464D6A" w:rsidP="00BF34C0">
      <w:pPr>
        <w:spacing w:after="0" w:line="240" w:lineRule="auto"/>
        <w:ind w:left="-288" w:right="-288"/>
        <w:jc w:val="both"/>
        <w:rPr>
          <w:sz w:val="24"/>
          <w:szCs w:val="24"/>
        </w:rPr>
      </w:pPr>
      <w:r w:rsidRPr="00E17C69">
        <w:rPr>
          <w:noProof/>
          <w:sz w:val="24"/>
          <w:szCs w:val="24"/>
        </w:rPr>
        <w:drawing>
          <wp:anchor distT="0" distB="0" distL="114300" distR="114300" simplePos="0" relativeHeight="251662336" behindDoc="1" locked="0" layoutInCell="1" allowOverlap="1" wp14:anchorId="780510F1" wp14:editId="0ED71E52">
            <wp:simplePos x="0" y="0"/>
            <wp:positionH relativeFrom="column">
              <wp:posOffset>3079326</wp:posOffset>
            </wp:positionH>
            <wp:positionV relativeFrom="paragraph">
              <wp:posOffset>845608</wp:posOffset>
            </wp:positionV>
            <wp:extent cx="3560445" cy="3902710"/>
            <wp:effectExtent l="0" t="0" r="1905" b="2540"/>
            <wp:wrapTight wrapText="bothSides">
              <wp:wrapPolygon edited="0">
                <wp:start x="0" y="0"/>
                <wp:lineTo x="0" y="21509"/>
                <wp:lineTo x="21496" y="21509"/>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 counties map with note2.jpg"/>
                    <pic:cNvPicPr/>
                  </pic:nvPicPr>
                  <pic:blipFill>
                    <a:blip r:embed="rId9">
                      <a:duotone>
                        <a:schemeClr val="accent1">
                          <a:shade val="45000"/>
                          <a:satMod val="135000"/>
                        </a:schemeClr>
                        <a:prstClr val="white"/>
                      </a:duotone>
                      <a:extLst>
                        <a:ext uri="{BEBA8EAE-BF5A-486C-A8C5-ECC9F3942E4B}">
                          <a14:imgProps xmlns:a14="http://schemas.microsoft.com/office/drawing/2010/main">
                            <a14:imgLayer r:embed="rId10">
                              <a14:imgEffect>
                                <a14:colorTemperature colorTemp="11200"/>
                              </a14:imgEffect>
                              <a14:imgEffect>
                                <a14:saturation sat="69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560445" cy="3902710"/>
                    </a:xfrm>
                    <a:prstGeom prst="rect">
                      <a:avLst/>
                    </a:prstGeom>
                  </pic:spPr>
                </pic:pic>
              </a:graphicData>
            </a:graphic>
            <wp14:sizeRelH relativeFrom="page">
              <wp14:pctWidth>0</wp14:pctWidth>
            </wp14:sizeRelH>
            <wp14:sizeRelV relativeFrom="page">
              <wp14:pctHeight>0</wp14:pctHeight>
            </wp14:sizeRelV>
          </wp:anchor>
        </w:drawing>
      </w:r>
      <w:r w:rsidR="00BF34C0" w:rsidRPr="00E17C69">
        <w:rPr>
          <w:sz w:val="24"/>
          <w:szCs w:val="24"/>
        </w:rPr>
        <w:t>Following federal law and guidance</w:t>
      </w:r>
      <w:r w:rsidR="002B60B6" w:rsidRPr="00E17C69">
        <w:rPr>
          <w:sz w:val="24"/>
          <w:szCs w:val="24"/>
          <w:vertAlign w:val="superscript"/>
        </w:rPr>
        <w:endnoteReference w:id="1"/>
      </w:r>
      <w:r w:rsidR="002B60B6" w:rsidRPr="00E17C69">
        <w:rPr>
          <w:sz w:val="24"/>
          <w:szCs w:val="24"/>
        </w:rPr>
        <w:t xml:space="preserve"> </w:t>
      </w:r>
      <w:r w:rsidR="00BF34C0" w:rsidRPr="00E17C69">
        <w:rPr>
          <w:sz w:val="24"/>
          <w:szCs w:val="24"/>
        </w:rPr>
        <w:t>that has been in place for over</w:t>
      </w:r>
      <w:r w:rsidR="002B60B6" w:rsidRPr="00E17C69">
        <w:rPr>
          <w:sz w:val="24"/>
          <w:szCs w:val="24"/>
        </w:rPr>
        <w:t xml:space="preserve"> 20 years,</w:t>
      </w:r>
      <w:r w:rsidR="002B60B6" w:rsidRPr="00E17C69">
        <w:rPr>
          <w:sz w:val="24"/>
          <w:szCs w:val="24"/>
          <w:vertAlign w:val="superscript"/>
        </w:rPr>
        <w:endnoteReference w:id="2"/>
      </w:r>
      <w:r w:rsidR="002B60B6" w:rsidRPr="00E17C69">
        <w:rPr>
          <w:sz w:val="24"/>
          <w:szCs w:val="24"/>
        </w:rPr>
        <w:t xml:space="preserve"> </w:t>
      </w:r>
      <w:r w:rsidR="00BF34C0" w:rsidRPr="00E17C69">
        <w:rPr>
          <w:sz w:val="24"/>
          <w:szCs w:val="24"/>
        </w:rPr>
        <w:t>the United States Department of Agriculture</w:t>
      </w:r>
      <w:r w:rsidR="00C71515" w:rsidRPr="00E17C69">
        <w:rPr>
          <w:sz w:val="24"/>
          <w:szCs w:val="24"/>
        </w:rPr>
        <w:t xml:space="preserve"> (USDA)</w:t>
      </w:r>
      <w:r w:rsidR="00BF34C0" w:rsidRPr="00E17C69">
        <w:rPr>
          <w:sz w:val="24"/>
          <w:szCs w:val="24"/>
        </w:rPr>
        <w:t xml:space="preserve"> approved </w:t>
      </w:r>
      <w:r w:rsidR="009C1DDB" w:rsidRPr="00E17C69">
        <w:rPr>
          <w:sz w:val="24"/>
          <w:szCs w:val="24"/>
        </w:rPr>
        <w:t>an area waiver to</w:t>
      </w:r>
      <w:r w:rsidR="00BF34C0" w:rsidRPr="00E17C69">
        <w:rPr>
          <w:sz w:val="24"/>
          <w:szCs w:val="24"/>
        </w:rPr>
        <w:t xml:space="preserve"> the time limit for all California counties </w:t>
      </w:r>
      <w:r w:rsidR="0083126E" w:rsidRPr="00E17C69">
        <w:rPr>
          <w:sz w:val="24"/>
          <w:szCs w:val="24"/>
        </w:rPr>
        <w:t xml:space="preserve">except </w:t>
      </w:r>
      <w:r w:rsidR="00717226" w:rsidRPr="00E17C69">
        <w:rPr>
          <w:sz w:val="24"/>
          <w:szCs w:val="24"/>
        </w:rPr>
        <w:t xml:space="preserve">Alameda, Contra Costa, Marin, </w:t>
      </w:r>
      <w:r w:rsidR="0083126E" w:rsidRPr="00E17C69">
        <w:rPr>
          <w:sz w:val="24"/>
          <w:szCs w:val="24"/>
        </w:rPr>
        <w:t>San Franc</w:t>
      </w:r>
      <w:r w:rsidR="00BF34C0" w:rsidRPr="00E17C69">
        <w:rPr>
          <w:sz w:val="24"/>
          <w:szCs w:val="24"/>
        </w:rPr>
        <w:t>isco, Santa Clara and San Mateo</w:t>
      </w:r>
      <w:r w:rsidR="0083126E" w:rsidRPr="00E17C69">
        <w:rPr>
          <w:sz w:val="24"/>
          <w:szCs w:val="24"/>
        </w:rPr>
        <w:t xml:space="preserve"> until August 31, 20</w:t>
      </w:r>
      <w:r w:rsidR="00717226" w:rsidRPr="00E17C69">
        <w:rPr>
          <w:sz w:val="24"/>
          <w:szCs w:val="24"/>
        </w:rPr>
        <w:t xml:space="preserve">20. </w:t>
      </w:r>
      <w:r w:rsidR="00BF34C0" w:rsidRPr="00E17C69">
        <w:rPr>
          <w:sz w:val="24"/>
          <w:szCs w:val="24"/>
        </w:rPr>
        <w:t xml:space="preserve">However, </w:t>
      </w:r>
      <w:r w:rsidR="005E5BF7" w:rsidRPr="00E17C69">
        <w:rPr>
          <w:sz w:val="24"/>
          <w:szCs w:val="24"/>
        </w:rPr>
        <w:t xml:space="preserve">on December 4, 2019, </w:t>
      </w:r>
      <w:r w:rsidR="00BF34C0" w:rsidRPr="00E17C69">
        <w:rPr>
          <w:sz w:val="24"/>
          <w:szCs w:val="24"/>
        </w:rPr>
        <w:t xml:space="preserve">at the direction of </w:t>
      </w:r>
      <w:r w:rsidR="009C1DDB" w:rsidRPr="00E17C69">
        <w:rPr>
          <w:sz w:val="24"/>
          <w:szCs w:val="24"/>
        </w:rPr>
        <w:t xml:space="preserve">President Donald J. Trump, </w:t>
      </w:r>
      <w:r w:rsidR="00BF34C0" w:rsidRPr="00E17C69">
        <w:rPr>
          <w:sz w:val="24"/>
          <w:szCs w:val="24"/>
        </w:rPr>
        <w:t xml:space="preserve">Secretary of Agriculture Sonny Perdue issued a </w:t>
      </w:r>
      <w:r w:rsidR="009C1DDB" w:rsidRPr="00E17C69">
        <w:rPr>
          <w:sz w:val="24"/>
          <w:szCs w:val="24"/>
        </w:rPr>
        <w:t xml:space="preserve">SNAP </w:t>
      </w:r>
      <w:r w:rsidR="004321FE" w:rsidRPr="00E17C69">
        <w:rPr>
          <w:sz w:val="24"/>
          <w:szCs w:val="24"/>
        </w:rPr>
        <w:t>Final R</w:t>
      </w:r>
      <w:r w:rsidR="00BF34C0" w:rsidRPr="00E17C69">
        <w:rPr>
          <w:sz w:val="24"/>
          <w:szCs w:val="24"/>
        </w:rPr>
        <w:t>ule that increase</w:t>
      </w:r>
      <w:r w:rsidR="00F17245" w:rsidRPr="00E17C69">
        <w:rPr>
          <w:sz w:val="24"/>
          <w:szCs w:val="24"/>
        </w:rPr>
        <w:t>s</w:t>
      </w:r>
      <w:r w:rsidR="00BF34C0" w:rsidRPr="00E17C69">
        <w:rPr>
          <w:sz w:val="24"/>
          <w:szCs w:val="24"/>
        </w:rPr>
        <w:t xml:space="preserve"> the number of people subject to the </w:t>
      </w:r>
      <w:r w:rsidR="005E5BF7" w:rsidRPr="00E17C69">
        <w:rPr>
          <w:sz w:val="24"/>
          <w:szCs w:val="24"/>
        </w:rPr>
        <w:t>time</w:t>
      </w:r>
      <w:r w:rsidR="00BF34C0" w:rsidRPr="00E17C69">
        <w:rPr>
          <w:sz w:val="24"/>
          <w:szCs w:val="24"/>
        </w:rPr>
        <w:t xml:space="preserve"> limit in California and across the country</w:t>
      </w:r>
      <w:r w:rsidR="00F17245" w:rsidRPr="00E17C69">
        <w:rPr>
          <w:sz w:val="24"/>
          <w:szCs w:val="24"/>
        </w:rPr>
        <w:t>, which will increase hunger and hardship.</w:t>
      </w:r>
      <w:r w:rsidR="00BF34C0" w:rsidRPr="00E17C69">
        <w:rPr>
          <w:sz w:val="24"/>
          <w:szCs w:val="24"/>
        </w:rPr>
        <w:t xml:space="preserve">  </w:t>
      </w:r>
      <w:hyperlink r:id="rId11" w:history="1">
        <w:r w:rsidR="00BF34C0" w:rsidRPr="00E17C69">
          <w:rPr>
            <w:rStyle w:val="Hyperlink"/>
            <w:color w:val="365F91" w:themeColor="accent1" w:themeShade="BF"/>
            <w:sz w:val="24"/>
            <w:szCs w:val="24"/>
          </w:rPr>
          <w:t>Here is a link to Western Center’s statement about the new rule</w:t>
        </w:r>
      </w:hyperlink>
      <w:r w:rsidR="00BF34C0" w:rsidRPr="00E17C69">
        <w:rPr>
          <w:sz w:val="24"/>
          <w:szCs w:val="24"/>
        </w:rPr>
        <w:t xml:space="preserve">.  </w:t>
      </w:r>
    </w:p>
    <w:p w14:paraId="14C7564E" w14:textId="1EB4015C" w:rsidR="00BF34C0" w:rsidRPr="00E17C69" w:rsidRDefault="00BF34C0" w:rsidP="00BF34C0">
      <w:pPr>
        <w:spacing w:after="0" w:line="240" w:lineRule="auto"/>
        <w:ind w:left="-288" w:right="-288"/>
        <w:jc w:val="both"/>
        <w:rPr>
          <w:sz w:val="16"/>
          <w:szCs w:val="16"/>
        </w:rPr>
      </w:pPr>
    </w:p>
    <w:p w14:paraId="04AADB85" w14:textId="5C9EF868" w:rsidR="00C71515" w:rsidRPr="00E17C69" w:rsidRDefault="00AD393F" w:rsidP="00C71515">
      <w:pPr>
        <w:spacing w:after="0" w:line="240" w:lineRule="auto"/>
        <w:ind w:left="-288" w:right="-288"/>
        <w:jc w:val="both"/>
        <w:rPr>
          <w:sz w:val="24"/>
          <w:szCs w:val="24"/>
        </w:rPr>
      </w:pPr>
      <w:r w:rsidRPr="00E17C69">
        <w:rPr>
          <w:noProof/>
          <w:sz w:val="24"/>
          <w:szCs w:val="24"/>
        </w:rPr>
        <mc:AlternateContent>
          <mc:Choice Requires="wps">
            <w:drawing>
              <wp:anchor distT="0" distB="0" distL="114300" distR="114300" simplePos="0" relativeHeight="251665408" behindDoc="0" locked="0" layoutInCell="1" allowOverlap="1" wp14:anchorId="277CCC89" wp14:editId="6FD4BD55">
                <wp:simplePos x="0" y="0"/>
                <wp:positionH relativeFrom="column">
                  <wp:posOffset>3062817</wp:posOffset>
                </wp:positionH>
                <wp:positionV relativeFrom="paragraph">
                  <wp:posOffset>3047154</wp:posOffset>
                </wp:positionV>
                <wp:extent cx="3615690" cy="499110"/>
                <wp:effectExtent l="0" t="0" r="0" b="15240"/>
                <wp:wrapSquare wrapText="bothSides"/>
                <wp:docPr id="200" name="Text Box 200"/>
                <wp:cNvGraphicFramePr/>
                <a:graphic xmlns:a="http://schemas.openxmlformats.org/drawingml/2006/main">
                  <a:graphicData uri="http://schemas.microsoft.com/office/word/2010/wordprocessingShape">
                    <wps:wsp>
                      <wps:cNvSpPr txBox="1"/>
                      <wps:spPr>
                        <a:xfrm>
                          <a:off x="0" y="0"/>
                          <a:ext cx="3615690"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92C98" w14:textId="77777777" w:rsidR="002B60B6" w:rsidRDefault="002B60B6" w:rsidP="002B60B6">
                            <w:pPr>
                              <w:spacing w:after="0" w:line="240" w:lineRule="auto"/>
                              <w:rPr>
                                <w:caps/>
                                <w:color w:val="365F91" w:themeColor="accent1" w:themeShade="BF"/>
                                <w:sz w:val="20"/>
                                <w:szCs w:val="20"/>
                              </w:rPr>
                            </w:pPr>
                            <w:r>
                              <w:rPr>
                                <w:color w:val="365F91" w:themeColor="accent1" w:themeShade="BF"/>
                                <w:sz w:val="20"/>
                                <w:szCs w:val="20"/>
                              </w:rPr>
                              <w:t xml:space="preserve">    </w:t>
                            </w:r>
                            <w:r w:rsidRPr="002B60B6">
                              <w:rPr>
                                <w:color w:val="365F91" w:themeColor="accent1" w:themeShade="BF"/>
                                <w:sz w:val="20"/>
                                <w:szCs w:val="20"/>
                              </w:rPr>
                              <w:t>Map Designed by CAFB – See their ABAWD website at:</w:t>
                            </w:r>
                            <w:r w:rsidRPr="002B60B6">
                              <w:rPr>
                                <w:caps/>
                                <w:color w:val="365F91" w:themeColor="accent1" w:themeShade="BF"/>
                                <w:sz w:val="20"/>
                                <w:szCs w:val="20"/>
                              </w:rPr>
                              <w:t xml:space="preserve"> </w:t>
                            </w:r>
                            <w:r>
                              <w:rPr>
                                <w:caps/>
                                <w:color w:val="365F91" w:themeColor="accent1" w:themeShade="BF"/>
                                <w:sz w:val="20"/>
                                <w:szCs w:val="20"/>
                              </w:rPr>
                              <w:t xml:space="preserve">  </w:t>
                            </w:r>
                          </w:p>
                          <w:p w14:paraId="2B113270" w14:textId="6F8136A7" w:rsidR="002B60B6" w:rsidRPr="002B60B6" w:rsidRDefault="002B60B6" w:rsidP="002B60B6">
                            <w:pPr>
                              <w:spacing w:after="0" w:line="240" w:lineRule="auto"/>
                              <w:rPr>
                                <w:rFonts w:eastAsia="Times New Roman"/>
                                <w:color w:val="365F91" w:themeColor="accent1" w:themeShade="BF"/>
                                <w:sz w:val="20"/>
                                <w:szCs w:val="20"/>
                              </w:rPr>
                            </w:pPr>
                            <w:r>
                              <w:rPr>
                                <w:caps/>
                                <w:color w:val="365F91" w:themeColor="accent1" w:themeShade="BF"/>
                                <w:sz w:val="20"/>
                                <w:szCs w:val="20"/>
                              </w:rPr>
                              <w:t xml:space="preserve">    </w:t>
                            </w:r>
                            <w:hyperlink r:id="rId12" w:tgtFrame="_blank" w:history="1">
                              <w:r w:rsidRPr="002B60B6">
                                <w:rPr>
                                  <w:rFonts w:eastAsia="Times New Roman"/>
                                  <w:color w:val="365F91" w:themeColor="accent1" w:themeShade="BF"/>
                                  <w:sz w:val="20"/>
                                  <w:szCs w:val="20"/>
                                  <w:u w:val="single"/>
                                </w:rPr>
                                <w:t>California Association of Food Banks – ABAWD Resources</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77CCC89" id="_x0000_t202" coordsize="21600,21600" o:spt="202" path="m,l,21600r21600,l21600,xe">
                <v:stroke joinstyle="miter"/>
                <v:path gradientshapeok="t" o:connecttype="rect"/>
              </v:shapetype>
              <v:shape id="Text Box 200" o:spid="_x0000_s1026" type="#_x0000_t202" style="position:absolute;left:0;text-align:left;margin-left:241.15pt;margin-top:239.95pt;width:284.7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" filled="f" stroked="f" strokeweight=".5pt">
                <v:textbox inset=",7.2pt,,0">
                  <w:txbxContent>
                    <w:p w14:paraId="23C92C98" w14:textId="77777777" w:rsidR="002B60B6" w:rsidRDefault="002B60B6" w:rsidP="002B60B6">
                      <w:pPr>
                        <w:spacing w:after="0" w:line="240" w:lineRule="auto"/>
                        <w:rPr>
                          <w:caps/>
                          <w:color w:val="365F91" w:themeColor="accent1" w:themeShade="BF"/>
                          <w:sz w:val="20"/>
                          <w:szCs w:val="20"/>
                        </w:rPr>
                      </w:pPr>
                      <w:r>
                        <w:rPr>
                          <w:color w:val="365F91" w:themeColor="accent1" w:themeShade="BF"/>
                          <w:sz w:val="20"/>
                          <w:szCs w:val="20"/>
                        </w:rPr>
                        <w:t xml:space="preserve">    </w:t>
                      </w:r>
                      <w:r w:rsidRPr="002B60B6">
                        <w:rPr>
                          <w:color w:val="365F91" w:themeColor="accent1" w:themeShade="BF"/>
                          <w:sz w:val="20"/>
                          <w:szCs w:val="20"/>
                        </w:rPr>
                        <w:t>Map Designed by CAFB – See their ABAWD website at:</w:t>
                      </w:r>
                      <w:r w:rsidRPr="002B60B6">
                        <w:rPr>
                          <w:caps/>
                          <w:color w:val="365F91" w:themeColor="accent1" w:themeShade="BF"/>
                          <w:sz w:val="20"/>
                          <w:szCs w:val="20"/>
                        </w:rPr>
                        <w:t xml:space="preserve"> </w:t>
                      </w:r>
                      <w:r>
                        <w:rPr>
                          <w:caps/>
                          <w:color w:val="365F91" w:themeColor="accent1" w:themeShade="BF"/>
                          <w:sz w:val="20"/>
                          <w:szCs w:val="20"/>
                        </w:rPr>
                        <w:t xml:space="preserve">  </w:t>
                      </w:r>
                    </w:p>
                    <w:p w14:paraId="2B113270" w14:textId="6F8136A7" w:rsidR="002B60B6" w:rsidRPr="002B60B6" w:rsidRDefault="002B60B6" w:rsidP="002B60B6">
                      <w:pPr>
                        <w:spacing w:after="0" w:line="240" w:lineRule="auto"/>
                        <w:rPr>
                          <w:rFonts w:eastAsia="Times New Roman"/>
                          <w:color w:val="365F91" w:themeColor="accent1" w:themeShade="BF"/>
                          <w:sz w:val="20"/>
                          <w:szCs w:val="20"/>
                        </w:rPr>
                      </w:pPr>
                      <w:r>
                        <w:rPr>
                          <w:caps/>
                          <w:color w:val="365F91" w:themeColor="accent1" w:themeShade="BF"/>
                          <w:sz w:val="20"/>
                          <w:szCs w:val="20"/>
                        </w:rPr>
                        <w:t xml:space="preserve">    </w:t>
                      </w:r>
                      <w:hyperlink r:id="rId13" w:tgtFrame="_blank" w:history="1">
                        <w:r w:rsidRPr="002B60B6">
                          <w:rPr>
                            <w:rFonts w:eastAsia="Times New Roman"/>
                            <w:color w:val="365F91" w:themeColor="accent1" w:themeShade="BF"/>
                            <w:sz w:val="20"/>
                            <w:szCs w:val="20"/>
                            <w:u w:val="single"/>
                          </w:rPr>
                          <w:t>California Association of Food Banks – ABAWD Resources</w:t>
                        </w:r>
                      </w:hyperlink>
                    </w:p>
                  </w:txbxContent>
                </v:textbox>
                <w10:wrap type="square"/>
              </v:shape>
            </w:pict>
          </mc:Fallback>
        </mc:AlternateContent>
      </w:r>
      <w:r w:rsidR="009C1DDB" w:rsidRPr="00E17C69">
        <w:rPr>
          <w:sz w:val="24"/>
          <w:szCs w:val="24"/>
        </w:rPr>
        <w:t>The California Department of Social Services (DSS) has issued</w:t>
      </w:r>
      <w:r w:rsidR="00BF34C0" w:rsidRPr="00E17C69">
        <w:rPr>
          <w:sz w:val="24"/>
          <w:szCs w:val="24"/>
        </w:rPr>
        <w:t xml:space="preserve"> </w:t>
      </w:r>
      <w:r w:rsidR="00F17245" w:rsidRPr="00E17C69">
        <w:rPr>
          <w:sz w:val="24"/>
          <w:szCs w:val="24"/>
        </w:rPr>
        <w:t xml:space="preserve">a </w:t>
      </w:r>
      <w:r w:rsidR="00BF34C0" w:rsidRPr="00E17C69">
        <w:rPr>
          <w:sz w:val="24"/>
          <w:szCs w:val="24"/>
        </w:rPr>
        <w:t xml:space="preserve">preliminary assessment of California’s </w:t>
      </w:r>
      <w:r w:rsidR="00C71515" w:rsidRPr="00E17C69">
        <w:rPr>
          <w:sz w:val="24"/>
          <w:szCs w:val="24"/>
        </w:rPr>
        <w:t xml:space="preserve">area </w:t>
      </w:r>
      <w:r w:rsidR="00BF34C0" w:rsidRPr="00E17C69">
        <w:rPr>
          <w:sz w:val="24"/>
          <w:szCs w:val="24"/>
        </w:rPr>
        <w:t xml:space="preserve">waiver eligibility based on the new waiver criteria </w:t>
      </w:r>
      <w:r w:rsidR="00C71515" w:rsidRPr="00E17C69">
        <w:rPr>
          <w:sz w:val="24"/>
          <w:szCs w:val="24"/>
        </w:rPr>
        <w:t>established by</w:t>
      </w:r>
      <w:r w:rsidR="00BF34C0" w:rsidRPr="00E17C69">
        <w:rPr>
          <w:sz w:val="24"/>
          <w:szCs w:val="24"/>
        </w:rPr>
        <w:t xml:space="preserve"> the Final Rule</w:t>
      </w:r>
      <w:r w:rsidR="009C1DDB" w:rsidRPr="00E17C69">
        <w:rPr>
          <w:sz w:val="24"/>
          <w:szCs w:val="24"/>
        </w:rPr>
        <w:t xml:space="preserve">, determining </w:t>
      </w:r>
      <w:r w:rsidR="00BF34C0" w:rsidRPr="00E17C69">
        <w:rPr>
          <w:sz w:val="24"/>
          <w:szCs w:val="24"/>
        </w:rPr>
        <w:t>that 34 counties will lose the waiver, leaving California with</w:t>
      </w:r>
      <w:r w:rsidR="009C1DDB" w:rsidRPr="00E17C69">
        <w:rPr>
          <w:sz w:val="24"/>
          <w:szCs w:val="24"/>
        </w:rPr>
        <w:t xml:space="preserve"> 40 counties without </w:t>
      </w:r>
      <w:r w:rsidR="00BF34C0" w:rsidRPr="00E17C69">
        <w:rPr>
          <w:sz w:val="24"/>
          <w:szCs w:val="24"/>
        </w:rPr>
        <w:t xml:space="preserve">waivers to the 3-month time limit. This assessment, however, cannot be confirmed until the Department completes its final analysis of unemployment using the new standards established in the new rule and a waiver request is ready to be submitted to FNS. The implementation date for new waivers under </w:t>
      </w:r>
      <w:r w:rsidR="00C71515" w:rsidRPr="00E17C69">
        <w:rPr>
          <w:sz w:val="24"/>
          <w:szCs w:val="24"/>
        </w:rPr>
        <w:t xml:space="preserve">the Final Rule is April 1, 2020. After that point, SNAP recipients subject to the ABAWD time limit in the counties without an area waiver approved by the USDA will only </w:t>
      </w:r>
      <w:r w:rsidR="00F17245" w:rsidRPr="00E17C69">
        <w:rPr>
          <w:sz w:val="24"/>
          <w:szCs w:val="24"/>
        </w:rPr>
        <w:t xml:space="preserve">be </w:t>
      </w:r>
      <w:r w:rsidR="00C71515" w:rsidRPr="00E17C69">
        <w:rPr>
          <w:sz w:val="24"/>
          <w:szCs w:val="24"/>
        </w:rPr>
        <w:t>eligible for benefits for three full months out of a 36-month period unless they are exempt</w:t>
      </w:r>
      <w:r w:rsidR="00F17245" w:rsidRPr="00E17C69">
        <w:rPr>
          <w:sz w:val="24"/>
          <w:szCs w:val="24"/>
        </w:rPr>
        <w:t xml:space="preserve"> from work</w:t>
      </w:r>
      <w:r w:rsidR="00C71515" w:rsidRPr="00E17C69">
        <w:rPr>
          <w:sz w:val="24"/>
          <w:szCs w:val="24"/>
        </w:rPr>
        <w:t>, meet the work requirement or receive one of the “12% discretionary exemptions.”</w:t>
      </w:r>
      <w:r w:rsidR="00C71515" w:rsidRPr="00E17C69">
        <w:rPr>
          <w:rStyle w:val="EndnoteReference"/>
          <w:sz w:val="24"/>
          <w:szCs w:val="24"/>
        </w:rPr>
        <w:endnoteReference w:id="3"/>
      </w:r>
      <w:r w:rsidR="00C71515" w:rsidRPr="00E17C69">
        <w:rPr>
          <w:sz w:val="24"/>
          <w:szCs w:val="24"/>
        </w:rPr>
        <w:t xml:space="preserve">  </w:t>
      </w:r>
    </w:p>
    <w:p w14:paraId="6410EB8D" w14:textId="4981DE88" w:rsidR="004321FE" w:rsidRPr="00E17C69" w:rsidRDefault="004321FE" w:rsidP="00BF34C0">
      <w:pPr>
        <w:spacing w:after="0" w:line="240" w:lineRule="auto"/>
        <w:ind w:left="-288" w:right="-288"/>
        <w:jc w:val="both"/>
        <w:rPr>
          <w:sz w:val="16"/>
          <w:szCs w:val="16"/>
        </w:rPr>
      </w:pPr>
    </w:p>
    <w:p w14:paraId="1B296CA6" w14:textId="77777777" w:rsidR="00884062" w:rsidRDefault="00C71515" w:rsidP="00884062">
      <w:pPr>
        <w:spacing w:after="0" w:line="240" w:lineRule="auto"/>
        <w:ind w:left="-288" w:right="-288"/>
        <w:jc w:val="both"/>
        <w:rPr>
          <w:sz w:val="24"/>
          <w:szCs w:val="24"/>
        </w:rPr>
      </w:pPr>
      <w:r w:rsidRPr="00E17C69">
        <w:rPr>
          <w:sz w:val="24"/>
          <w:szCs w:val="24"/>
        </w:rPr>
        <w:t>The Final Rule also limits the ability of states to use the statutorily established 12% discretionary exemptions, by removing the ability of s</w:t>
      </w:r>
      <w:r w:rsidR="00AD393F" w:rsidRPr="00E17C69">
        <w:rPr>
          <w:sz w:val="24"/>
          <w:szCs w:val="24"/>
        </w:rPr>
        <w:t>tates to award recipients unused discretionary</w:t>
      </w:r>
      <w:r w:rsidRPr="00E17C69">
        <w:rPr>
          <w:sz w:val="24"/>
          <w:szCs w:val="24"/>
        </w:rPr>
        <w:t xml:space="preserve"> exemptions after </w:t>
      </w:r>
      <w:r w:rsidR="00BF34C0" w:rsidRPr="00E17C69">
        <w:rPr>
          <w:sz w:val="24"/>
          <w:szCs w:val="24"/>
        </w:rPr>
        <w:t>October 1, 2020, or until they run out</w:t>
      </w:r>
      <w:r w:rsidRPr="00E17C69">
        <w:rPr>
          <w:sz w:val="24"/>
          <w:szCs w:val="24"/>
        </w:rPr>
        <w:t>, whichever is sooner</w:t>
      </w:r>
      <w:r w:rsidR="00BF34C0" w:rsidRPr="00E17C69">
        <w:rPr>
          <w:sz w:val="24"/>
          <w:szCs w:val="24"/>
        </w:rPr>
        <w:t xml:space="preserve">. </w:t>
      </w:r>
      <w:r w:rsidRPr="00E17C69">
        <w:rPr>
          <w:sz w:val="24"/>
          <w:szCs w:val="24"/>
        </w:rPr>
        <w:t>DSS</w:t>
      </w:r>
      <w:r w:rsidR="00BF34C0" w:rsidRPr="00E17C69">
        <w:rPr>
          <w:sz w:val="24"/>
          <w:szCs w:val="24"/>
        </w:rPr>
        <w:t xml:space="preserve"> </w:t>
      </w:r>
      <w:r w:rsidRPr="00E17C69">
        <w:rPr>
          <w:sz w:val="24"/>
          <w:szCs w:val="24"/>
        </w:rPr>
        <w:t xml:space="preserve">is expected to issue guidance instructing </w:t>
      </w:r>
      <w:r w:rsidRPr="00E17C69">
        <w:rPr>
          <w:sz w:val="24"/>
          <w:szCs w:val="24"/>
        </w:rPr>
        <w:lastRenderedPageBreak/>
        <w:t xml:space="preserve">counties to use the 12% discretionary exemptions in order to prevent harm among the impacted population and </w:t>
      </w:r>
      <w:r w:rsidR="00BF34C0" w:rsidRPr="00E17C69">
        <w:rPr>
          <w:sz w:val="24"/>
          <w:szCs w:val="24"/>
        </w:rPr>
        <w:t>does not yet have an estimated date that th</w:t>
      </w:r>
      <w:r w:rsidRPr="00E17C69">
        <w:rPr>
          <w:sz w:val="24"/>
          <w:szCs w:val="24"/>
        </w:rPr>
        <w:t xml:space="preserve">ey will run out of exemptions they have banked </w:t>
      </w:r>
    </w:p>
    <w:p w14:paraId="7C053EAA" w14:textId="12B3EA1F" w:rsidR="00464D6A" w:rsidRDefault="00C71515" w:rsidP="00884062">
      <w:pPr>
        <w:spacing w:after="0" w:line="240" w:lineRule="auto"/>
        <w:ind w:left="-288" w:right="-288"/>
        <w:jc w:val="both"/>
        <w:rPr>
          <w:sz w:val="24"/>
          <w:szCs w:val="24"/>
        </w:rPr>
      </w:pPr>
      <w:r w:rsidRPr="00E17C69">
        <w:rPr>
          <w:sz w:val="24"/>
          <w:szCs w:val="24"/>
        </w:rPr>
        <w:t xml:space="preserve">up to this point. </w:t>
      </w:r>
      <w:r w:rsidR="00BF34C0" w:rsidRPr="00E17C69">
        <w:rPr>
          <w:sz w:val="24"/>
          <w:szCs w:val="24"/>
        </w:rPr>
        <w:t xml:space="preserve"> </w:t>
      </w:r>
      <w:r w:rsidRPr="00E17C69">
        <w:rPr>
          <w:sz w:val="24"/>
          <w:szCs w:val="24"/>
        </w:rPr>
        <w:t>However, they have</w:t>
      </w:r>
      <w:r w:rsidR="00BF34C0" w:rsidRPr="00E17C69">
        <w:rPr>
          <w:sz w:val="24"/>
          <w:szCs w:val="24"/>
        </w:rPr>
        <w:t xml:space="preserve"> indicated that this will be difficult to do as the need for exemptions could change significantly during a recession since the </w:t>
      </w:r>
      <w:r w:rsidRPr="00E17C69">
        <w:rPr>
          <w:sz w:val="24"/>
          <w:szCs w:val="24"/>
        </w:rPr>
        <w:t>Final Rule</w:t>
      </w:r>
      <w:r w:rsidR="00BF34C0" w:rsidRPr="00E17C69">
        <w:rPr>
          <w:sz w:val="24"/>
          <w:szCs w:val="24"/>
        </w:rPr>
        <w:t xml:space="preserve"> would </w:t>
      </w:r>
      <w:r w:rsidRPr="00E17C69">
        <w:rPr>
          <w:sz w:val="24"/>
          <w:szCs w:val="24"/>
        </w:rPr>
        <w:t xml:space="preserve">also </w:t>
      </w:r>
      <w:r w:rsidR="00BF34C0" w:rsidRPr="00E17C69">
        <w:rPr>
          <w:sz w:val="24"/>
          <w:szCs w:val="24"/>
        </w:rPr>
        <w:t xml:space="preserve">limit a state’s ability to receive prompt relief of the time limit during recessions or periods of high unemployment. </w:t>
      </w:r>
      <w:r w:rsidR="00464D6A" w:rsidRPr="00E17C69">
        <w:rPr>
          <w:sz w:val="24"/>
          <w:szCs w:val="24"/>
        </w:rPr>
        <w:t xml:space="preserve">DSS and counties have already begun implementing the Final Rule, in order to comply with the tight timeline to implement it. </w:t>
      </w:r>
    </w:p>
    <w:p w14:paraId="21EFD4A8" w14:textId="77777777" w:rsidR="00E17C69" w:rsidRPr="00E17C69" w:rsidRDefault="00E17C69" w:rsidP="00AD393F">
      <w:pPr>
        <w:spacing w:after="0" w:line="240" w:lineRule="auto"/>
        <w:ind w:left="-288" w:right="-288"/>
        <w:jc w:val="both"/>
        <w:rPr>
          <w:sz w:val="24"/>
          <w:szCs w:val="24"/>
        </w:rPr>
      </w:pPr>
    </w:p>
    <w:p w14:paraId="355858D2" w14:textId="06265ACC" w:rsidR="00AD393F" w:rsidRPr="00E17C69" w:rsidRDefault="00AD393F" w:rsidP="00AD393F">
      <w:pPr>
        <w:spacing w:after="0" w:line="240" w:lineRule="auto"/>
        <w:ind w:left="-288" w:right="-288"/>
        <w:jc w:val="both"/>
        <w:rPr>
          <w:b/>
          <w:i/>
          <w:sz w:val="24"/>
          <w:szCs w:val="24"/>
        </w:rPr>
      </w:pPr>
      <w:r w:rsidRPr="00E17C69">
        <w:rPr>
          <w:rFonts w:asciiTheme="majorHAnsi" w:hAnsiTheme="majorHAnsi" w:cs="Arial"/>
          <w:b/>
          <w:i/>
          <w:sz w:val="24"/>
          <w:szCs w:val="24"/>
        </w:rPr>
        <w:t>Litigation has been Filed to Stop the Rule</w:t>
      </w:r>
    </w:p>
    <w:p w14:paraId="2A457166" w14:textId="1A14D2AE" w:rsidR="00BF34C0" w:rsidRPr="00E17C69" w:rsidRDefault="00E17C69" w:rsidP="00AD393F">
      <w:pPr>
        <w:spacing w:after="0" w:line="240" w:lineRule="auto"/>
        <w:ind w:left="-288" w:right="-288"/>
        <w:jc w:val="both"/>
        <w:rPr>
          <w:sz w:val="24"/>
          <w:szCs w:val="24"/>
        </w:rPr>
      </w:pPr>
      <w:r>
        <w:rPr>
          <w:sz w:val="24"/>
          <w:szCs w:val="24"/>
        </w:rPr>
        <w:t>On January 16</w:t>
      </w:r>
      <w:r w:rsidR="00AD393F" w:rsidRPr="00E17C69">
        <w:rPr>
          <w:sz w:val="24"/>
          <w:szCs w:val="24"/>
        </w:rPr>
        <w:t xml:space="preserve">, </w:t>
      </w:r>
      <w:r>
        <w:rPr>
          <w:sz w:val="24"/>
          <w:szCs w:val="24"/>
        </w:rPr>
        <w:t xml:space="preserve">2020, </w:t>
      </w:r>
      <w:r w:rsidR="00AD393F" w:rsidRPr="00E17C69">
        <w:rPr>
          <w:sz w:val="24"/>
          <w:szCs w:val="24"/>
        </w:rPr>
        <w:t>two separate law suits were filed against the rule and to seek a national injunction.</w:t>
      </w:r>
      <w:r>
        <w:rPr>
          <w:rStyle w:val="EndnoteReference"/>
          <w:sz w:val="24"/>
          <w:szCs w:val="24"/>
        </w:rPr>
        <w:endnoteReference w:id="4"/>
      </w:r>
      <w:r w:rsidR="00AD393F" w:rsidRPr="00E17C69">
        <w:rPr>
          <w:sz w:val="24"/>
          <w:szCs w:val="24"/>
        </w:rPr>
        <w:t xml:space="preserve"> The Attorney </w:t>
      </w:r>
      <w:r>
        <w:rPr>
          <w:sz w:val="24"/>
          <w:szCs w:val="24"/>
        </w:rPr>
        <w:t>General of</w:t>
      </w:r>
      <w:r w:rsidR="00AD393F" w:rsidRPr="00E17C69">
        <w:rPr>
          <w:sz w:val="24"/>
          <w:szCs w:val="24"/>
        </w:rPr>
        <w:t xml:space="preserve"> Washington, D.C. </w:t>
      </w:r>
      <w:r w:rsidR="0085527B">
        <w:rPr>
          <w:sz w:val="24"/>
          <w:szCs w:val="24"/>
        </w:rPr>
        <w:t>and 13</w:t>
      </w:r>
      <w:r w:rsidR="00AD393F" w:rsidRPr="00E17C69">
        <w:rPr>
          <w:sz w:val="24"/>
          <w:szCs w:val="24"/>
        </w:rPr>
        <w:t xml:space="preserve"> other states, including California, </w:t>
      </w:r>
      <w:r>
        <w:rPr>
          <w:sz w:val="24"/>
          <w:szCs w:val="24"/>
        </w:rPr>
        <w:t xml:space="preserve">and New York City </w:t>
      </w:r>
      <w:r w:rsidR="00AD393F" w:rsidRPr="00E17C69">
        <w:rPr>
          <w:sz w:val="24"/>
          <w:szCs w:val="24"/>
        </w:rPr>
        <w:t>filed one case.</w:t>
      </w:r>
      <w:r>
        <w:rPr>
          <w:rStyle w:val="EndnoteReference"/>
          <w:sz w:val="24"/>
          <w:szCs w:val="24"/>
        </w:rPr>
        <w:endnoteReference w:id="5"/>
      </w:r>
      <w:r w:rsidR="00AD393F" w:rsidRPr="00E17C69">
        <w:rPr>
          <w:sz w:val="24"/>
          <w:szCs w:val="24"/>
        </w:rPr>
        <w:t xml:space="preserve"> The Legal Aid of D.C. filed a separate case.</w:t>
      </w:r>
      <w:r w:rsidRPr="00E17C69">
        <w:rPr>
          <w:rStyle w:val="EndnoteReference"/>
          <w:sz w:val="24"/>
          <w:szCs w:val="24"/>
        </w:rPr>
        <w:endnoteReference w:id="6"/>
      </w:r>
      <w:r w:rsidR="00AD393F" w:rsidRPr="00E17C69">
        <w:rPr>
          <w:sz w:val="24"/>
          <w:szCs w:val="24"/>
        </w:rPr>
        <w:t xml:space="preserve"> </w:t>
      </w:r>
      <w:r w:rsidR="00E9210A">
        <w:rPr>
          <w:sz w:val="24"/>
          <w:szCs w:val="24"/>
        </w:rPr>
        <w:t>These cases have now been joined and they will have a hearing on March 5</w:t>
      </w:r>
      <w:r w:rsidR="00E9210A" w:rsidRPr="00E9210A">
        <w:rPr>
          <w:sz w:val="24"/>
          <w:szCs w:val="24"/>
          <w:vertAlign w:val="superscript"/>
        </w:rPr>
        <w:t>th</w:t>
      </w:r>
      <w:r w:rsidR="00E9210A">
        <w:rPr>
          <w:sz w:val="24"/>
          <w:szCs w:val="24"/>
        </w:rPr>
        <w:t xml:space="preserve">. More news will be available after that. Because the rule must be implemented on April 1, 2020, if an injunction is not secured, the state, county and advocate communities will need to do all the work of implementation in order to ensure compliance should that happen. </w:t>
      </w:r>
      <w:r>
        <w:rPr>
          <w:sz w:val="24"/>
          <w:szCs w:val="24"/>
        </w:rPr>
        <w:t>Western Center will keep the CalFresh community appraised about litigation filed and</w:t>
      </w:r>
      <w:r w:rsidR="00E9210A">
        <w:rPr>
          <w:sz w:val="24"/>
          <w:szCs w:val="24"/>
        </w:rPr>
        <w:t xml:space="preserve"> the status of this litigation as well as opportunities to advocate on All County Letters and other implementing documents. </w:t>
      </w:r>
    </w:p>
    <w:p w14:paraId="7103B593" w14:textId="77777777" w:rsidR="00AD393F" w:rsidRPr="00E17C69" w:rsidRDefault="00AD393F" w:rsidP="00AD393F">
      <w:pPr>
        <w:spacing w:after="0" w:line="240" w:lineRule="auto"/>
        <w:ind w:left="-288" w:right="-288"/>
        <w:jc w:val="both"/>
        <w:rPr>
          <w:sz w:val="24"/>
          <w:szCs w:val="24"/>
        </w:rPr>
      </w:pPr>
    </w:p>
    <w:p w14:paraId="774464AF" w14:textId="77777777" w:rsidR="002F4A29" w:rsidRPr="00E17C69" w:rsidRDefault="002F4A29" w:rsidP="001A4149">
      <w:pPr>
        <w:spacing w:after="0" w:line="240" w:lineRule="auto"/>
        <w:ind w:left="-288" w:right="-288"/>
        <w:jc w:val="both"/>
        <w:rPr>
          <w:b/>
          <w:i/>
          <w:sz w:val="24"/>
          <w:szCs w:val="24"/>
        </w:rPr>
      </w:pPr>
      <w:r w:rsidRPr="00E17C69">
        <w:rPr>
          <w:rFonts w:asciiTheme="majorHAnsi" w:hAnsiTheme="majorHAnsi" w:cs="Arial"/>
          <w:b/>
          <w:i/>
          <w:sz w:val="24"/>
          <w:szCs w:val="24"/>
        </w:rPr>
        <w:t>CalFresh ABAWD Time Limit Background</w:t>
      </w:r>
    </w:p>
    <w:p w14:paraId="15D784CA" w14:textId="30408E87" w:rsidR="002F4A29" w:rsidRPr="00E17C69" w:rsidRDefault="002F4A29" w:rsidP="001A4149">
      <w:pPr>
        <w:spacing w:after="0" w:line="240" w:lineRule="auto"/>
        <w:ind w:left="-288" w:right="-288"/>
        <w:jc w:val="both"/>
        <w:rPr>
          <w:sz w:val="24"/>
          <w:szCs w:val="24"/>
        </w:rPr>
      </w:pPr>
      <w:r w:rsidRPr="00E17C69">
        <w:rPr>
          <w:sz w:val="24"/>
          <w:szCs w:val="24"/>
        </w:rPr>
        <w:t>In 1996, through the Personal Responsibility and Work Opportunity Reconciliation Act of 1996 (PRWORA),</w:t>
      </w:r>
      <w:r w:rsidRPr="00E17C69">
        <w:rPr>
          <w:sz w:val="24"/>
          <w:szCs w:val="24"/>
          <w:vertAlign w:val="superscript"/>
        </w:rPr>
        <w:endnoteReference w:id="7"/>
      </w:r>
      <w:r w:rsidRPr="00E17C69">
        <w:rPr>
          <w:sz w:val="24"/>
          <w:szCs w:val="24"/>
        </w:rPr>
        <w:t xml:space="preserve"> Congress created a time limit in the Food Stamp Program, now known as </w:t>
      </w:r>
      <w:r w:rsidR="001A4149" w:rsidRPr="00E17C69">
        <w:rPr>
          <w:sz w:val="24"/>
          <w:szCs w:val="24"/>
        </w:rPr>
        <w:t xml:space="preserve">the </w:t>
      </w:r>
      <w:r w:rsidRPr="00E17C69">
        <w:rPr>
          <w:sz w:val="24"/>
          <w:szCs w:val="24"/>
        </w:rPr>
        <w:t>Supplemental Nutrition Assistance Program (SNAP)</w:t>
      </w:r>
      <w:r w:rsidR="00AD121D" w:rsidRPr="00E17C69">
        <w:rPr>
          <w:sz w:val="24"/>
          <w:szCs w:val="24"/>
        </w:rPr>
        <w:t xml:space="preserve"> </w:t>
      </w:r>
      <w:r w:rsidR="00D66587" w:rsidRPr="00E17C69">
        <w:rPr>
          <w:sz w:val="24"/>
          <w:szCs w:val="24"/>
        </w:rPr>
        <w:t>n</w:t>
      </w:r>
      <w:r w:rsidR="00AD121D" w:rsidRPr="00E17C69">
        <w:rPr>
          <w:sz w:val="24"/>
          <w:szCs w:val="24"/>
        </w:rPr>
        <w:t>ationally and as CalFresh in California</w:t>
      </w:r>
      <w:r w:rsidR="001A4149" w:rsidRPr="00E17C69">
        <w:rPr>
          <w:sz w:val="24"/>
          <w:szCs w:val="24"/>
        </w:rPr>
        <w:t>. This time limit applies to</w:t>
      </w:r>
      <w:r w:rsidRPr="00E17C69">
        <w:rPr>
          <w:sz w:val="24"/>
          <w:szCs w:val="24"/>
        </w:rPr>
        <w:t xml:space="preserve"> adults between the ages of 18 and 49 years old</w:t>
      </w:r>
      <w:r w:rsidR="001A4149" w:rsidRPr="00E17C69">
        <w:rPr>
          <w:sz w:val="24"/>
          <w:szCs w:val="24"/>
        </w:rPr>
        <w:t xml:space="preserve"> who are not living with a child</w:t>
      </w:r>
      <w:r w:rsidRPr="00E17C69">
        <w:rPr>
          <w:sz w:val="24"/>
          <w:szCs w:val="24"/>
        </w:rPr>
        <w:t>, referred to as ABAWDs.</w:t>
      </w:r>
      <w:r w:rsidRPr="00E17C69">
        <w:rPr>
          <w:sz w:val="24"/>
          <w:szCs w:val="24"/>
          <w:vertAlign w:val="superscript"/>
        </w:rPr>
        <w:endnoteReference w:id="8"/>
      </w:r>
      <w:r w:rsidRPr="00E17C69">
        <w:rPr>
          <w:sz w:val="24"/>
          <w:szCs w:val="24"/>
        </w:rPr>
        <w:t xml:space="preserve">  Unless exempt due to disability or pregnancy, </w:t>
      </w:r>
      <w:r w:rsidR="001A4149" w:rsidRPr="00E17C69">
        <w:rPr>
          <w:sz w:val="24"/>
          <w:szCs w:val="24"/>
        </w:rPr>
        <w:t>these recipients are</w:t>
      </w:r>
      <w:r w:rsidRPr="00E17C69">
        <w:rPr>
          <w:sz w:val="24"/>
          <w:szCs w:val="24"/>
        </w:rPr>
        <w:t xml:space="preserve"> limited to receiving </w:t>
      </w:r>
      <w:r w:rsidR="001A4149" w:rsidRPr="00E17C69">
        <w:rPr>
          <w:sz w:val="24"/>
          <w:szCs w:val="24"/>
        </w:rPr>
        <w:t>federal food benefits for just 3-months each</w:t>
      </w:r>
      <w:r w:rsidRPr="00E17C69">
        <w:rPr>
          <w:sz w:val="24"/>
          <w:szCs w:val="24"/>
        </w:rPr>
        <w:t xml:space="preserve"> </w:t>
      </w:r>
      <w:r w:rsidR="001A4149" w:rsidRPr="00E17C69">
        <w:rPr>
          <w:sz w:val="24"/>
          <w:szCs w:val="24"/>
        </w:rPr>
        <w:t>36-</w:t>
      </w:r>
      <w:r w:rsidRPr="00E17C69">
        <w:rPr>
          <w:sz w:val="24"/>
          <w:szCs w:val="24"/>
        </w:rPr>
        <w:t xml:space="preserve">month period unless they satisfy the 20 hours-per-week work requirement associated with this time limit. </w:t>
      </w:r>
    </w:p>
    <w:p w14:paraId="268A59E7" w14:textId="34A0D272" w:rsidR="002B60B6" w:rsidRPr="00E17C69" w:rsidRDefault="002B60B6" w:rsidP="002B2D35">
      <w:pPr>
        <w:spacing w:after="0" w:line="240" w:lineRule="auto"/>
        <w:ind w:right="-288"/>
        <w:jc w:val="both"/>
        <w:rPr>
          <w:sz w:val="24"/>
          <w:szCs w:val="24"/>
        </w:rPr>
      </w:pPr>
    </w:p>
    <w:p w14:paraId="330DFF19" w14:textId="77777777" w:rsidR="00BD4A90" w:rsidRPr="00E17C69" w:rsidRDefault="00BD4A90" w:rsidP="001A4149">
      <w:pPr>
        <w:spacing w:after="0" w:line="240" w:lineRule="auto"/>
        <w:ind w:left="-288" w:right="-288"/>
        <w:jc w:val="both"/>
        <w:rPr>
          <w:b/>
          <w:i/>
          <w:sz w:val="24"/>
          <w:szCs w:val="24"/>
        </w:rPr>
      </w:pPr>
      <w:r w:rsidRPr="00E17C69">
        <w:rPr>
          <w:b/>
          <w:i/>
          <w:sz w:val="24"/>
          <w:szCs w:val="24"/>
        </w:rPr>
        <w:t>ABAWD Time Limit Makes it More Difficult to Find Work – Not Less</w:t>
      </w:r>
    </w:p>
    <w:p w14:paraId="3356BCBF" w14:textId="5CD5D017" w:rsidR="00BD4A90" w:rsidRPr="00E17C69" w:rsidRDefault="00BD4A90" w:rsidP="001A4149">
      <w:pPr>
        <w:spacing w:after="0" w:line="240" w:lineRule="auto"/>
        <w:ind w:left="-288" w:right="-288"/>
        <w:jc w:val="both"/>
        <w:rPr>
          <w:sz w:val="24"/>
          <w:szCs w:val="24"/>
        </w:rPr>
      </w:pPr>
      <w:r w:rsidRPr="00E17C69">
        <w:rPr>
          <w:sz w:val="24"/>
          <w:szCs w:val="24"/>
        </w:rPr>
        <w:t xml:space="preserve">The time limit denies food aid to </w:t>
      </w:r>
      <w:r w:rsidR="001A4149" w:rsidRPr="00E17C69">
        <w:rPr>
          <w:sz w:val="24"/>
          <w:szCs w:val="24"/>
        </w:rPr>
        <w:t xml:space="preserve">people who cannot prove that they have worked the requisite number of hours per week. This includes </w:t>
      </w:r>
      <w:r w:rsidRPr="00E17C69">
        <w:rPr>
          <w:sz w:val="24"/>
          <w:szCs w:val="24"/>
        </w:rPr>
        <w:t>individuals with undiagnosed impairments</w:t>
      </w:r>
      <w:r w:rsidR="001A4149" w:rsidRPr="00E17C69">
        <w:rPr>
          <w:sz w:val="24"/>
          <w:szCs w:val="24"/>
        </w:rPr>
        <w:t xml:space="preserve">. </w:t>
      </w:r>
      <w:r w:rsidRPr="00E17C69">
        <w:rPr>
          <w:sz w:val="24"/>
          <w:szCs w:val="24"/>
        </w:rPr>
        <w:t xml:space="preserve">States are not obliged to help these individuals find medical providers who can diagnose or treat their impairments.  The time limit denies food aid to individuals without impairments who are actively looking for work </w:t>
      </w:r>
      <w:r w:rsidR="001A4149" w:rsidRPr="00E17C69">
        <w:rPr>
          <w:sz w:val="24"/>
          <w:szCs w:val="24"/>
        </w:rPr>
        <w:t>but unable to find</w:t>
      </w:r>
      <w:r w:rsidRPr="00E17C69">
        <w:rPr>
          <w:sz w:val="24"/>
          <w:szCs w:val="24"/>
        </w:rPr>
        <w:t xml:space="preserve"> an employer </w:t>
      </w:r>
      <w:r w:rsidR="001A4149" w:rsidRPr="00E17C69">
        <w:rPr>
          <w:sz w:val="24"/>
          <w:szCs w:val="24"/>
        </w:rPr>
        <w:t xml:space="preserve">who </w:t>
      </w:r>
      <w:r w:rsidRPr="00E17C69">
        <w:rPr>
          <w:sz w:val="24"/>
          <w:szCs w:val="24"/>
        </w:rPr>
        <w:t>will hire them</w:t>
      </w:r>
      <w:r w:rsidR="001A4149" w:rsidRPr="00E17C69">
        <w:rPr>
          <w:sz w:val="24"/>
          <w:szCs w:val="24"/>
        </w:rPr>
        <w:t xml:space="preserve"> or a job that will give them enough hours to comply with the 20-hour per week requirement</w:t>
      </w:r>
      <w:r w:rsidRPr="00E17C69">
        <w:rPr>
          <w:sz w:val="24"/>
          <w:szCs w:val="24"/>
        </w:rPr>
        <w:t>. Unlike work requirements in other public assistance programs, states have absolutely no obligation under the SNAP time limit rules to offer skills training, employment services or any transportation assistance to individuals before cutting them off food assistance.</w:t>
      </w:r>
      <w:r w:rsidRPr="00E17C69">
        <w:rPr>
          <w:sz w:val="24"/>
          <w:szCs w:val="24"/>
          <w:vertAlign w:val="superscript"/>
        </w:rPr>
        <w:endnoteReference w:id="9"/>
      </w:r>
      <w:r w:rsidRPr="00E17C69">
        <w:rPr>
          <w:sz w:val="24"/>
          <w:szCs w:val="24"/>
        </w:rPr>
        <w:t xml:space="preserve"> As a result, most of these individuals are denied food help and go hungry, making it more difficult to find work, not less. </w:t>
      </w:r>
      <w:r w:rsidR="00AD121D" w:rsidRPr="00E17C69">
        <w:rPr>
          <w:sz w:val="24"/>
          <w:szCs w:val="24"/>
        </w:rPr>
        <w:t xml:space="preserve"> </w:t>
      </w:r>
      <w:r w:rsidRPr="00E17C69">
        <w:rPr>
          <w:sz w:val="24"/>
          <w:szCs w:val="24"/>
        </w:rPr>
        <w:t>The ABAWD population often faces the most significant barriers to work and could benefit from county-administered employment and training placement and barrier removal support services. According to the Center on Budget and Policy Priorities (CBPP), only</w:t>
      </w:r>
      <w:r w:rsidRPr="00E17C69">
        <w:rPr>
          <w:sz w:val="24"/>
          <w:szCs w:val="24"/>
          <w:lang w:val="en"/>
        </w:rPr>
        <w:t xml:space="preserve"> about half of ABAWDs nationally have a high school diploma or the equivalent.</w:t>
      </w:r>
      <w:r w:rsidRPr="00E17C69">
        <w:rPr>
          <w:sz w:val="24"/>
          <w:szCs w:val="24"/>
          <w:vertAlign w:val="superscript"/>
          <w:lang w:val="en"/>
        </w:rPr>
        <w:endnoteReference w:id="10"/>
      </w:r>
      <w:r w:rsidR="001A4149" w:rsidRPr="00E17C69">
        <w:rPr>
          <w:sz w:val="24"/>
          <w:szCs w:val="24"/>
          <w:lang w:val="en"/>
        </w:rPr>
        <w:t xml:space="preserve">  </w:t>
      </w:r>
    </w:p>
    <w:p w14:paraId="534D4CD2" w14:textId="77777777" w:rsidR="002B60B6" w:rsidRPr="00E17C69" w:rsidRDefault="002B60B6" w:rsidP="001A4149">
      <w:pPr>
        <w:spacing w:after="0" w:line="240" w:lineRule="auto"/>
        <w:ind w:left="-288" w:right="-288"/>
        <w:jc w:val="both"/>
        <w:rPr>
          <w:sz w:val="24"/>
          <w:szCs w:val="24"/>
        </w:rPr>
      </w:pPr>
    </w:p>
    <w:p w14:paraId="1AA69C36" w14:textId="4D31AA05" w:rsidR="00BD4A90" w:rsidRPr="00E17C69" w:rsidRDefault="00AD121D" w:rsidP="001A4149">
      <w:pPr>
        <w:spacing w:after="0" w:line="240" w:lineRule="auto"/>
        <w:ind w:left="-288" w:right="-288"/>
        <w:jc w:val="both"/>
        <w:rPr>
          <w:b/>
          <w:i/>
          <w:sz w:val="24"/>
          <w:szCs w:val="24"/>
        </w:rPr>
      </w:pPr>
      <w:r w:rsidRPr="00E17C69">
        <w:rPr>
          <w:b/>
          <w:i/>
          <w:sz w:val="24"/>
          <w:szCs w:val="24"/>
        </w:rPr>
        <w:t>Working Together to Prevent Hunger &amp; Support Opportunities to Work</w:t>
      </w:r>
    </w:p>
    <w:p w14:paraId="1A4BBA9B" w14:textId="5103374A" w:rsidR="002B2D35" w:rsidRDefault="001A4149" w:rsidP="002B2D35">
      <w:pPr>
        <w:spacing w:after="0" w:line="240" w:lineRule="auto"/>
        <w:ind w:left="-288" w:right="-288"/>
        <w:jc w:val="both"/>
        <w:rPr>
          <w:sz w:val="24"/>
          <w:szCs w:val="24"/>
        </w:rPr>
      </w:pPr>
      <w:r w:rsidRPr="00E17C69">
        <w:rPr>
          <w:sz w:val="24"/>
          <w:szCs w:val="24"/>
        </w:rPr>
        <w:t>While</w:t>
      </w:r>
      <w:r w:rsidR="00561681" w:rsidRPr="00E17C69">
        <w:rPr>
          <w:sz w:val="24"/>
          <w:szCs w:val="24"/>
        </w:rPr>
        <w:t xml:space="preserve"> Califo</w:t>
      </w:r>
      <w:r w:rsidRPr="00E17C69">
        <w:rPr>
          <w:sz w:val="24"/>
          <w:szCs w:val="24"/>
        </w:rPr>
        <w:t>rnia’s anti-hunger community is</w:t>
      </w:r>
      <w:r w:rsidR="00561681" w:rsidRPr="00E17C69">
        <w:rPr>
          <w:sz w:val="24"/>
          <w:szCs w:val="24"/>
        </w:rPr>
        <w:t xml:space="preserve"> unified in our opposition to the time limit</w:t>
      </w:r>
      <w:r w:rsidR="00717226" w:rsidRPr="00E17C69">
        <w:rPr>
          <w:sz w:val="24"/>
          <w:szCs w:val="24"/>
        </w:rPr>
        <w:t xml:space="preserve"> and the </w:t>
      </w:r>
      <w:r w:rsidR="004321FE" w:rsidRPr="00E17C69">
        <w:rPr>
          <w:sz w:val="24"/>
          <w:szCs w:val="24"/>
        </w:rPr>
        <w:t>Administration’s</w:t>
      </w:r>
      <w:r w:rsidR="00717226" w:rsidRPr="00E17C69">
        <w:rPr>
          <w:sz w:val="24"/>
          <w:szCs w:val="24"/>
        </w:rPr>
        <w:t xml:space="preserve"> changes to the time limit</w:t>
      </w:r>
      <w:r w:rsidR="004321FE" w:rsidRPr="00E17C69">
        <w:rPr>
          <w:sz w:val="24"/>
          <w:szCs w:val="24"/>
        </w:rPr>
        <w:t xml:space="preserve"> regulations</w:t>
      </w:r>
      <w:r w:rsidR="00561681" w:rsidRPr="00E17C69">
        <w:rPr>
          <w:sz w:val="24"/>
          <w:szCs w:val="24"/>
        </w:rPr>
        <w:t xml:space="preserve">, we are also committed to ensure that, in regions implementing the time limit, people are protected from the harm of </w:t>
      </w:r>
      <w:r w:rsidRPr="00E17C69">
        <w:rPr>
          <w:sz w:val="24"/>
          <w:szCs w:val="24"/>
        </w:rPr>
        <w:t>prolonged hunger</w:t>
      </w:r>
      <w:r w:rsidR="00561681" w:rsidRPr="00E17C69">
        <w:rPr>
          <w:sz w:val="24"/>
          <w:szCs w:val="24"/>
        </w:rPr>
        <w:t xml:space="preserve">. This includes </w:t>
      </w:r>
      <w:r w:rsidR="00561681" w:rsidRPr="00E17C69">
        <w:rPr>
          <w:sz w:val="24"/>
          <w:szCs w:val="24"/>
        </w:rPr>
        <w:lastRenderedPageBreak/>
        <w:t xml:space="preserve">supporting robust screening of ABAWD time limited CalFresh recipients to ensure that they are exempted from the rule when appropriate. </w:t>
      </w:r>
      <w:r w:rsidR="00AD121D" w:rsidRPr="00E17C69">
        <w:rPr>
          <w:sz w:val="24"/>
          <w:szCs w:val="24"/>
        </w:rPr>
        <w:t xml:space="preserve"> </w:t>
      </w:r>
      <w:r w:rsidR="00561681" w:rsidRPr="00E17C69">
        <w:rPr>
          <w:sz w:val="24"/>
          <w:szCs w:val="24"/>
        </w:rPr>
        <w:t xml:space="preserve">It also means </w:t>
      </w:r>
      <w:r w:rsidR="004321FE" w:rsidRPr="00E17C69">
        <w:rPr>
          <w:sz w:val="24"/>
          <w:szCs w:val="24"/>
        </w:rPr>
        <w:t>continuing the work we have pursued for a decade</w:t>
      </w:r>
      <w:r w:rsidR="00561681" w:rsidRPr="00E17C69">
        <w:rPr>
          <w:sz w:val="24"/>
          <w:szCs w:val="24"/>
        </w:rPr>
        <w:t xml:space="preserve"> to increase work and work training opportunities for CalFresh recipients so that they have a meaningful path toward complying with the work </w:t>
      </w:r>
      <w:r w:rsidRPr="00E17C69">
        <w:rPr>
          <w:sz w:val="24"/>
          <w:szCs w:val="24"/>
        </w:rPr>
        <w:t>requirement</w:t>
      </w:r>
      <w:r w:rsidR="00561681" w:rsidRPr="00E17C69">
        <w:rPr>
          <w:sz w:val="24"/>
          <w:szCs w:val="24"/>
        </w:rPr>
        <w:t xml:space="preserve"> of the </w:t>
      </w:r>
      <w:r w:rsidRPr="00E17C69">
        <w:rPr>
          <w:sz w:val="24"/>
          <w:szCs w:val="24"/>
        </w:rPr>
        <w:t>ABAWD time limit and to eventually succeed in exiting poverty through employment</w:t>
      </w:r>
      <w:r w:rsidR="00561681" w:rsidRPr="00E17C69">
        <w:rPr>
          <w:sz w:val="24"/>
          <w:szCs w:val="24"/>
        </w:rPr>
        <w:t xml:space="preserve">. </w:t>
      </w:r>
      <w:r w:rsidRPr="00E17C69">
        <w:rPr>
          <w:sz w:val="24"/>
          <w:szCs w:val="24"/>
        </w:rPr>
        <w:t>Our state’s anti-hunger community is</w:t>
      </w:r>
      <w:r w:rsidR="00561681" w:rsidRPr="00E17C69">
        <w:rPr>
          <w:sz w:val="24"/>
          <w:szCs w:val="24"/>
        </w:rPr>
        <w:t xml:space="preserve"> achieving this by </w:t>
      </w:r>
      <w:r w:rsidRPr="00E17C69">
        <w:rPr>
          <w:sz w:val="24"/>
          <w:szCs w:val="24"/>
        </w:rPr>
        <w:t xml:space="preserve">working with state and county administrators and legislators </w:t>
      </w:r>
      <w:r w:rsidR="004321FE" w:rsidRPr="00E17C69">
        <w:rPr>
          <w:sz w:val="24"/>
          <w:szCs w:val="24"/>
        </w:rPr>
        <w:t>to expand</w:t>
      </w:r>
      <w:r w:rsidR="00561681" w:rsidRPr="00E17C69">
        <w:rPr>
          <w:sz w:val="24"/>
          <w:szCs w:val="24"/>
        </w:rPr>
        <w:t xml:space="preserve"> CalFresh Emplo</w:t>
      </w:r>
      <w:r w:rsidR="004321FE" w:rsidRPr="00E17C69">
        <w:rPr>
          <w:sz w:val="24"/>
          <w:szCs w:val="24"/>
        </w:rPr>
        <w:t>yment &amp; Training (CFET)</w:t>
      </w:r>
      <w:r w:rsidR="00924181" w:rsidRPr="00E17C69">
        <w:rPr>
          <w:sz w:val="24"/>
          <w:szCs w:val="24"/>
        </w:rPr>
        <w:t xml:space="preserve">. </w:t>
      </w:r>
    </w:p>
    <w:p w14:paraId="036D008E" w14:textId="07BB05EE" w:rsidR="00B3720A" w:rsidRDefault="00B3720A" w:rsidP="002B2D35">
      <w:pPr>
        <w:spacing w:after="0" w:line="240" w:lineRule="auto"/>
        <w:ind w:left="-288" w:right="-288"/>
        <w:jc w:val="both"/>
        <w:rPr>
          <w:sz w:val="24"/>
          <w:szCs w:val="24"/>
        </w:rPr>
      </w:pPr>
    </w:p>
    <w:p w14:paraId="2CDF33BC" w14:textId="1FF9FADF" w:rsidR="00B3720A" w:rsidRPr="00B3720A" w:rsidRDefault="00B3720A" w:rsidP="002B2D35">
      <w:pPr>
        <w:spacing w:after="0" w:line="240" w:lineRule="auto"/>
        <w:ind w:left="-288" w:right="-288"/>
        <w:jc w:val="both"/>
        <w:rPr>
          <w:b/>
          <w:sz w:val="24"/>
          <w:szCs w:val="24"/>
        </w:rPr>
      </w:pPr>
      <w:r w:rsidRPr="00B3720A">
        <w:rPr>
          <w:b/>
          <w:sz w:val="24"/>
          <w:szCs w:val="24"/>
        </w:rPr>
        <w:t>Federal Legislation Would End the ABAWD Time Limit Altogether</w:t>
      </w:r>
    </w:p>
    <w:p w14:paraId="66E30541" w14:textId="69EDF6DF" w:rsidR="002B2D35" w:rsidRDefault="00B3720A" w:rsidP="007C69A4">
      <w:pPr>
        <w:spacing w:after="0" w:line="240" w:lineRule="auto"/>
        <w:ind w:left="-288" w:right="-288"/>
        <w:jc w:val="both"/>
        <w:rPr>
          <w:sz w:val="24"/>
          <w:szCs w:val="24"/>
        </w:rPr>
      </w:pPr>
      <w:r>
        <w:rPr>
          <w:sz w:val="24"/>
          <w:szCs w:val="24"/>
        </w:rPr>
        <w:t>Even without the Trump Administration’s rule increased the number of people harmed by the SNAP time limit, the rule has been problematic. Western Center and our allies opposed the rule when</w:t>
      </w:r>
      <w:r w:rsidR="007C69A4">
        <w:rPr>
          <w:sz w:val="24"/>
          <w:szCs w:val="24"/>
        </w:rPr>
        <w:t xml:space="preserve"> it was proposed and adopted in</w:t>
      </w:r>
      <w:r>
        <w:rPr>
          <w:sz w:val="24"/>
          <w:szCs w:val="24"/>
        </w:rPr>
        <w:t xml:space="preserve"> the federal Personal Responsibility and Work Opportunity Reconciliation Act (PRWORA)</w:t>
      </w:r>
      <w:r w:rsidR="007C69A4">
        <w:rPr>
          <w:rStyle w:val="EndnoteReference"/>
          <w:sz w:val="24"/>
          <w:szCs w:val="24"/>
        </w:rPr>
        <w:endnoteReference w:id="11"/>
      </w:r>
      <w:r w:rsidR="007C69A4">
        <w:rPr>
          <w:sz w:val="24"/>
          <w:szCs w:val="24"/>
        </w:rPr>
        <w:t xml:space="preserve"> in 1996</w:t>
      </w:r>
      <w:r>
        <w:rPr>
          <w:sz w:val="24"/>
          <w:szCs w:val="24"/>
        </w:rPr>
        <w:t xml:space="preserve">. </w:t>
      </w:r>
      <w:r w:rsidR="007C69A4">
        <w:rPr>
          <w:sz w:val="24"/>
          <w:szCs w:val="24"/>
        </w:rPr>
        <w:t>This is why we are in full support of House Resolution 1368,</w:t>
      </w:r>
      <w:r w:rsidR="007C69A4">
        <w:rPr>
          <w:rStyle w:val="EndnoteReference"/>
          <w:sz w:val="24"/>
          <w:szCs w:val="24"/>
        </w:rPr>
        <w:endnoteReference w:id="12"/>
      </w:r>
      <w:r w:rsidR="007C69A4">
        <w:rPr>
          <w:sz w:val="24"/>
          <w:szCs w:val="24"/>
        </w:rPr>
        <w:t xml:space="preserve"> introduced by Congresswoman Barbara Lee last year.</w:t>
      </w:r>
      <w:r w:rsidR="007C69A4">
        <w:rPr>
          <w:rStyle w:val="EndnoteReference"/>
          <w:sz w:val="24"/>
          <w:szCs w:val="24"/>
        </w:rPr>
        <w:endnoteReference w:id="13"/>
      </w:r>
      <w:r w:rsidR="007C69A4">
        <w:rPr>
          <w:sz w:val="24"/>
          <w:szCs w:val="24"/>
        </w:rPr>
        <w:t xml:space="preserve"> H.R. 1368 would abolish the time limit rule altogether.</w:t>
      </w:r>
    </w:p>
    <w:p w14:paraId="36E9224D" w14:textId="77777777" w:rsidR="007C69A4" w:rsidRDefault="007C69A4" w:rsidP="00BE33A8">
      <w:pPr>
        <w:spacing w:after="0" w:line="240" w:lineRule="auto"/>
        <w:ind w:right="-288"/>
        <w:jc w:val="both"/>
        <w:rPr>
          <w:sz w:val="24"/>
          <w:szCs w:val="24"/>
        </w:rPr>
      </w:pPr>
    </w:p>
    <w:p w14:paraId="0690F998" w14:textId="66427990" w:rsidR="00B74CAD" w:rsidRPr="00E17C69" w:rsidRDefault="00B74CAD" w:rsidP="002B2D35">
      <w:pPr>
        <w:spacing w:after="0" w:line="240" w:lineRule="auto"/>
        <w:ind w:left="-288" w:right="-288"/>
        <w:jc w:val="both"/>
        <w:rPr>
          <w:sz w:val="24"/>
          <w:szCs w:val="24"/>
        </w:rPr>
      </w:pPr>
      <w:r w:rsidRPr="00E17C69">
        <w:rPr>
          <w:rFonts w:asciiTheme="majorHAnsi" w:hAnsiTheme="majorHAnsi" w:cs="Arial"/>
          <w:b/>
          <w:i/>
          <w:sz w:val="24"/>
          <w:szCs w:val="24"/>
        </w:rPr>
        <w:t>About Western Center on Law and Poverty</w:t>
      </w:r>
      <w:r w:rsidRPr="00E17C69">
        <w:rPr>
          <w:rFonts w:asciiTheme="majorHAnsi" w:hAnsiTheme="majorHAnsi" w:cs="Arial"/>
          <w:b/>
          <w:i/>
          <w:sz w:val="24"/>
          <w:szCs w:val="24"/>
        </w:rPr>
        <w:tab/>
      </w:r>
    </w:p>
    <w:p w14:paraId="090A3024" w14:textId="77777777" w:rsidR="00884062" w:rsidRDefault="00B74CAD" w:rsidP="001A4149">
      <w:pPr>
        <w:spacing w:after="0" w:line="240" w:lineRule="auto"/>
        <w:ind w:left="-288" w:right="-288"/>
        <w:jc w:val="both"/>
        <w:rPr>
          <w:rFonts w:asciiTheme="majorHAnsi" w:hAnsiTheme="majorHAnsi" w:cs="Arial"/>
          <w:sz w:val="24"/>
          <w:szCs w:val="24"/>
        </w:rPr>
      </w:pPr>
      <w:r w:rsidRPr="00E17C69">
        <w:rPr>
          <w:rFonts w:asciiTheme="majorHAnsi" w:hAnsiTheme="majorHAnsi" w:cs="Arial"/>
          <w:sz w:val="24"/>
          <w:szCs w:val="24"/>
        </w:rPr>
        <w:t xml:space="preserve">Western Center on Law and Poverty leads the fight in the courts, counties, and capital to secure housing, health care and a strong safety net for low-income Californians. Learn more at: </w:t>
      </w:r>
      <w:hyperlink r:id="rId14" w:history="1">
        <w:r w:rsidRPr="00E17C69">
          <w:rPr>
            <w:rStyle w:val="Hyperlink"/>
            <w:rFonts w:asciiTheme="majorHAnsi" w:hAnsiTheme="majorHAnsi" w:cs="Arial"/>
            <w:sz w:val="24"/>
            <w:szCs w:val="24"/>
          </w:rPr>
          <w:t>www.wclp.org</w:t>
        </w:r>
      </w:hyperlink>
      <w:r w:rsidRPr="00E17C69">
        <w:rPr>
          <w:rFonts w:asciiTheme="majorHAnsi" w:hAnsiTheme="majorHAnsi" w:cs="Arial"/>
          <w:sz w:val="24"/>
          <w:szCs w:val="24"/>
        </w:rPr>
        <w:t xml:space="preserve">.  For more information about our </w:t>
      </w:r>
      <w:r w:rsidR="00275501" w:rsidRPr="00E17C69">
        <w:rPr>
          <w:rFonts w:asciiTheme="majorHAnsi" w:hAnsiTheme="majorHAnsi" w:cs="Arial"/>
          <w:sz w:val="24"/>
          <w:szCs w:val="24"/>
        </w:rPr>
        <w:t>CalFresh policy advocacy</w:t>
      </w:r>
      <w:r w:rsidRPr="00E17C69">
        <w:rPr>
          <w:rFonts w:asciiTheme="majorHAnsi" w:hAnsiTheme="majorHAnsi" w:cs="Arial"/>
          <w:sz w:val="24"/>
          <w:szCs w:val="24"/>
        </w:rPr>
        <w:t xml:space="preserve">, contact: </w:t>
      </w:r>
    </w:p>
    <w:p w14:paraId="0EE27F31" w14:textId="77777777" w:rsidR="00884062" w:rsidRDefault="00884062" w:rsidP="001A4149">
      <w:pPr>
        <w:spacing w:after="0" w:line="240" w:lineRule="auto"/>
        <w:ind w:left="-288" w:right="-288"/>
        <w:jc w:val="both"/>
        <w:rPr>
          <w:rFonts w:asciiTheme="majorHAnsi" w:hAnsiTheme="majorHAnsi" w:cs="Arial"/>
          <w:sz w:val="24"/>
          <w:szCs w:val="24"/>
        </w:rPr>
      </w:pPr>
    </w:p>
    <w:p w14:paraId="55E301D3" w14:textId="6EBD8E5B" w:rsidR="00884062" w:rsidRDefault="00884062" w:rsidP="001A4149">
      <w:pPr>
        <w:spacing w:after="0" w:line="240" w:lineRule="auto"/>
        <w:ind w:left="-288" w:right="-288"/>
        <w:jc w:val="both"/>
        <w:rPr>
          <w:rFonts w:asciiTheme="majorHAnsi" w:hAnsiTheme="majorHAnsi" w:cs="Arial"/>
          <w:sz w:val="24"/>
          <w:szCs w:val="24"/>
        </w:rPr>
      </w:pPr>
      <w:r>
        <w:rPr>
          <w:rFonts w:asciiTheme="majorHAnsi" w:hAnsiTheme="majorHAnsi" w:cs="Arial"/>
          <w:sz w:val="24"/>
          <w:szCs w:val="24"/>
        </w:rPr>
        <w:t>Jessica Bartholow</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Antionette Dozier</w:t>
      </w:r>
    </w:p>
    <w:p w14:paraId="75F0B4C4" w14:textId="57652507" w:rsidR="00884062" w:rsidRDefault="00884062" w:rsidP="001A4149">
      <w:pPr>
        <w:spacing w:after="0" w:line="240" w:lineRule="auto"/>
        <w:ind w:left="-288" w:right="-288"/>
        <w:jc w:val="both"/>
        <w:rPr>
          <w:rFonts w:asciiTheme="majorHAnsi" w:hAnsiTheme="majorHAnsi" w:cs="Arial"/>
          <w:sz w:val="24"/>
          <w:szCs w:val="24"/>
        </w:rPr>
      </w:pPr>
      <w:r>
        <w:rPr>
          <w:sz w:val="24"/>
          <w:szCs w:val="24"/>
        </w:rPr>
        <w:t xml:space="preserve">Email: </w:t>
      </w:r>
      <w:hyperlink r:id="rId15" w:history="1">
        <w:r w:rsidRPr="000838A1">
          <w:rPr>
            <w:rStyle w:val="Hyperlink"/>
            <w:rFonts w:asciiTheme="majorHAnsi" w:hAnsiTheme="majorHAnsi" w:cs="Arial"/>
            <w:sz w:val="24"/>
            <w:szCs w:val="24"/>
          </w:rPr>
          <w:t>jbartholow@wclp.org</w:t>
        </w:r>
      </w:hyperlink>
      <w:r>
        <w:rPr>
          <w:rFonts w:asciiTheme="majorHAnsi" w:hAnsiTheme="majorHAnsi" w:cs="Arial"/>
          <w:sz w:val="24"/>
          <w:szCs w:val="24"/>
        </w:rPr>
        <w:tab/>
      </w:r>
      <w:r>
        <w:rPr>
          <w:rFonts w:asciiTheme="majorHAnsi" w:hAnsiTheme="majorHAnsi" w:cs="Arial"/>
          <w:sz w:val="24"/>
          <w:szCs w:val="24"/>
        </w:rPr>
        <w:tab/>
        <w:t xml:space="preserve">Email: </w:t>
      </w:r>
      <w:hyperlink r:id="rId16" w:history="1">
        <w:r w:rsidRPr="000838A1">
          <w:rPr>
            <w:rStyle w:val="Hyperlink"/>
            <w:rFonts w:asciiTheme="majorHAnsi" w:hAnsiTheme="majorHAnsi" w:cs="Arial"/>
            <w:sz w:val="24"/>
            <w:szCs w:val="24"/>
          </w:rPr>
          <w:t>adozier@wclp.org</w:t>
        </w:r>
      </w:hyperlink>
    </w:p>
    <w:p w14:paraId="6CFB65EA" w14:textId="074A84F7" w:rsidR="00B74CAD" w:rsidRPr="00E17C69" w:rsidRDefault="00884062" w:rsidP="001A4149">
      <w:pPr>
        <w:spacing w:after="0" w:line="240" w:lineRule="auto"/>
        <w:ind w:left="-288" w:right="-288"/>
        <w:jc w:val="both"/>
        <w:rPr>
          <w:rFonts w:asciiTheme="majorHAnsi" w:hAnsiTheme="majorHAnsi" w:cs="Arial"/>
          <w:sz w:val="24"/>
          <w:szCs w:val="24"/>
        </w:rPr>
      </w:pPr>
      <w:r>
        <w:rPr>
          <w:rFonts w:asciiTheme="majorHAnsi" w:hAnsiTheme="majorHAnsi" w:cs="Arial"/>
          <w:sz w:val="24"/>
          <w:szCs w:val="24"/>
        </w:rPr>
        <w:t>Phone:  (916) 282-5119</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Phone: (213) 235-</w:t>
      </w:r>
      <w:r w:rsidRPr="00884062">
        <w:rPr>
          <w:rFonts w:asciiTheme="majorHAnsi" w:hAnsiTheme="majorHAnsi" w:cs="Arial"/>
          <w:sz w:val="24"/>
          <w:szCs w:val="24"/>
        </w:rPr>
        <w:t xml:space="preserve">2629  </w:t>
      </w:r>
    </w:p>
    <w:p w14:paraId="0ABCBED6" w14:textId="595F45BF" w:rsidR="007C69A4" w:rsidRDefault="007C69A4" w:rsidP="00E9210A">
      <w:pPr>
        <w:spacing w:after="0" w:line="240" w:lineRule="auto"/>
        <w:ind w:right="-288"/>
        <w:jc w:val="both"/>
        <w:rPr>
          <w:rFonts w:asciiTheme="majorHAnsi" w:hAnsiTheme="majorHAnsi" w:cs="Arial"/>
          <w:sz w:val="24"/>
          <w:szCs w:val="24"/>
        </w:rPr>
      </w:pPr>
    </w:p>
    <w:p w14:paraId="37039CA9" w14:textId="209DC4EE" w:rsidR="00E9210A" w:rsidRDefault="00E9210A" w:rsidP="00E9210A">
      <w:pPr>
        <w:spacing w:after="0" w:line="240" w:lineRule="auto"/>
        <w:ind w:right="-288"/>
        <w:jc w:val="both"/>
        <w:rPr>
          <w:rFonts w:asciiTheme="majorHAnsi" w:hAnsiTheme="majorHAnsi" w:cs="Arial"/>
          <w:sz w:val="24"/>
          <w:szCs w:val="24"/>
        </w:rPr>
      </w:pPr>
    </w:p>
    <w:p w14:paraId="5F98A784" w14:textId="7E5F509C" w:rsidR="00E9210A" w:rsidRDefault="00E9210A" w:rsidP="00E9210A">
      <w:pPr>
        <w:spacing w:after="0" w:line="240" w:lineRule="auto"/>
        <w:ind w:right="-288"/>
        <w:jc w:val="both"/>
        <w:rPr>
          <w:rFonts w:asciiTheme="majorHAnsi" w:hAnsiTheme="majorHAnsi" w:cs="Arial"/>
          <w:sz w:val="24"/>
          <w:szCs w:val="24"/>
        </w:rPr>
      </w:pPr>
    </w:p>
    <w:p w14:paraId="29A472D3" w14:textId="77777777" w:rsidR="00E9210A" w:rsidRDefault="00E9210A" w:rsidP="00E9210A">
      <w:pPr>
        <w:spacing w:after="0" w:line="240" w:lineRule="auto"/>
        <w:ind w:right="-288"/>
        <w:jc w:val="both"/>
        <w:rPr>
          <w:rFonts w:asciiTheme="majorHAnsi" w:hAnsiTheme="majorHAnsi" w:cs="Arial"/>
          <w:sz w:val="24"/>
          <w:szCs w:val="24"/>
        </w:rPr>
      </w:pPr>
    </w:p>
    <w:p w14:paraId="28DFCB94" w14:textId="2C91A5DD" w:rsidR="007C69A4" w:rsidRDefault="007C69A4" w:rsidP="001A4149">
      <w:pPr>
        <w:spacing w:after="0" w:line="240" w:lineRule="auto"/>
        <w:ind w:left="-288" w:right="-288"/>
        <w:jc w:val="both"/>
        <w:rPr>
          <w:rFonts w:asciiTheme="majorHAnsi" w:hAnsiTheme="majorHAnsi" w:cs="Arial"/>
          <w:sz w:val="24"/>
          <w:szCs w:val="24"/>
        </w:rPr>
      </w:pPr>
    </w:p>
    <w:p w14:paraId="6A94D27E" w14:textId="6A5C295A" w:rsidR="007C69A4" w:rsidRDefault="007C69A4" w:rsidP="001A4149">
      <w:pPr>
        <w:spacing w:after="0" w:line="240" w:lineRule="auto"/>
        <w:ind w:left="-288" w:right="-288"/>
        <w:jc w:val="both"/>
        <w:rPr>
          <w:rFonts w:asciiTheme="majorHAnsi" w:hAnsiTheme="majorHAnsi" w:cs="Arial"/>
          <w:sz w:val="24"/>
          <w:szCs w:val="24"/>
        </w:rPr>
      </w:pPr>
    </w:p>
    <w:p w14:paraId="6CAB4C04" w14:textId="02902BFE" w:rsidR="007C69A4" w:rsidRDefault="007C69A4" w:rsidP="001A4149">
      <w:pPr>
        <w:spacing w:after="0" w:line="240" w:lineRule="auto"/>
        <w:ind w:left="-288" w:right="-288"/>
        <w:jc w:val="both"/>
        <w:rPr>
          <w:rFonts w:asciiTheme="majorHAnsi" w:hAnsiTheme="majorHAnsi" w:cs="Arial"/>
          <w:sz w:val="24"/>
          <w:szCs w:val="24"/>
        </w:rPr>
      </w:pPr>
    </w:p>
    <w:p w14:paraId="35A2D09D" w14:textId="4229E87B" w:rsidR="001A4149" w:rsidRPr="00E17C69" w:rsidRDefault="001A4149" w:rsidP="001A4149">
      <w:pPr>
        <w:spacing w:after="0" w:line="240" w:lineRule="auto"/>
        <w:ind w:left="-288" w:right="-288"/>
        <w:jc w:val="both"/>
        <w:rPr>
          <w:b/>
          <w:i/>
          <w:sz w:val="24"/>
          <w:szCs w:val="24"/>
        </w:rPr>
      </w:pPr>
      <w:r w:rsidRPr="00E17C69">
        <w:rPr>
          <w:rFonts w:asciiTheme="majorHAnsi" w:hAnsiTheme="majorHAnsi" w:cs="Arial"/>
          <w:b/>
          <w:i/>
          <w:sz w:val="24"/>
          <w:szCs w:val="24"/>
        </w:rPr>
        <w:t>Footnotes</w:t>
      </w:r>
    </w:p>
    <w:sectPr w:rsidR="001A4149" w:rsidRPr="00E17C69" w:rsidSect="00884062">
      <w:headerReference w:type="even" r:id="rId17"/>
      <w:headerReference w:type="default" r:id="rId18"/>
      <w:footerReference w:type="even" r:id="rId19"/>
      <w:footerReference w:type="default" r:id="rId20"/>
      <w:headerReference w:type="first" r:id="rId21"/>
      <w:footerReference w:type="first" r:id="rId22"/>
      <w:pgSz w:w="12240" w:h="15840"/>
      <w:pgMar w:top="1296" w:right="1296" w:bottom="1296" w:left="1296"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C8850" w16cid:durableId="21B45E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1E131" w14:textId="77777777" w:rsidR="002935AC" w:rsidRDefault="002935AC">
      <w:pPr>
        <w:spacing w:after="0" w:line="240" w:lineRule="auto"/>
      </w:pPr>
      <w:r>
        <w:separator/>
      </w:r>
    </w:p>
  </w:endnote>
  <w:endnote w:type="continuationSeparator" w:id="0">
    <w:p w14:paraId="711B1C8A" w14:textId="77777777" w:rsidR="002935AC" w:rsidRDefault="002935AC">
      <w:pPr>
        <w:spacing w:after="0" w:line="240" w:lineRule="auto"/>
      </w:pPr>
      <w:r>
        <w:continuationSeparator/>
      </w:r>
    </w:p>
  </w:endnote>
  <w:endnote w:id="1">
    <w:p w14:paraId="3D916E6F" w14:textId="77777777" w:rsidR="002B60B6" w:rsidRPr="00E17C69" w:rsidRDefault="002B60B6" w:rsidP="00E17C69">
      <w:pPr>
        <w:pStyle w:val="EndnoteText"/>
        <w:ind w:left="-288"/>
        <w:rPr>
          <w:rFonts w:asciiTheme="majorHAnsi" w:hAnsiTheme="majorHAnsi"/>
          <w:sz w:val="18"/>
          <w:szCs w:val="18"/>
        </w:rPr>
      </w:pPr>
      <w:r w:rsidRPr="00E17C69">
        <w:rPr>
          <w:rStyle w:val="EndnoteReference"/>
          <w:rFonts w:asciiTheme="majorHAnsi" w:hAnsiTheme="majorHAnsi"/>
          <w:sz w:val="18"/>
          <w:szCs w:val="18"/>
        </w:rPr>
        <w:endnoteRef/>
      </w:r>
      <w:r w:rsidRPr="00E17C69">
        <w:rPr>
          <w:rFonts w:asciiTheme="majorHAnsi" w:hAnsiTheme="majorHAnsi"/>
          <w:sz w:val="18"/>
          <w:szCs w:val="18"/>
        </w:rPr>
        <w:t xml:space="preserve"> 7 Code of Federal Regulation § 273.24 (b) &amp; (f)</w:t>
      </w:r>
    </w:p>
  </w:endnote>
  <w:endnote w:id="2">
    <w:p w14:paraId="062C5837" w14:textId="77777777" w:rsidR="002B60B6" w:rsidRPr="00E17C69" w:rsidRDefault="002B60B6" w:rsidP="00E17C69">
      <w:pPr>
        <w:pStyle w:val="EndnoteText"/>
        <w:ind w:left="-288"/>
        <w:rPr>
          <w:rFonts w:ascii="Book Antiqua" w:hAnsi="Book Antiqua"/>
          <w:sz w:val="18"/>
          <w:szCs w:val="18"/>
        </w:rPr>
      </w:pPr>
      <w:r w:rsidRPr="00E17C69">
        <w:rPr>
          <w:rStyle w:val="EndnoteReference"/>
          <w:rFonts w:asciiTheme="majorHAnsi" w:hAnsiTheme="majorHAnsi"/>
          <w:sz w:val="18"/>
          <w:szCs w:val="18"/>
        </w:rPr>
        <w:endnoteRef/>
      </w:r>
      <w:r w:rsidRPr="00E17C69">
        <w:rPr>
          <w:rFonts w:asciiTheme="majorHAnsi" w:hAnsiTheme="majorHAnsi"/>
          <w:sz w:val="18"/>
          <w:szCs w:val="18"/>
        </w:rPr>
        <w:t xml:space="preserve"> Unemployment Compensation Extension Act of 2008 (Public Law 110-449) DOL’s Notice No. 2013-49 issued on December 22, 2013.</w:t>
      </w:r>
      <w:r w:rsidRPr="00E17C69">
        <w:rPr>
          <w:rFonts w:ascii="Book Antiqua" w:hAnsi="Book Antiqua"/>
          <w:sz w:val="18"/>
          <w:szCs w:val="18"/>
        </w:rPr>
        <w:t xml:space="preserve"> </w:t>
      </w:r>
    </w:p>
  </w:endnote>
  <w:endnote w:id="3">
    <w:p w14:paraId="29B425EE" w14:textId="77777777" w:rsidR="00C71515" w:rsidRPr="00E17C69" w:rsidRDefault="00C71515" w:rsidP="00E17C69">
      <w:pPr>
        <w:pStyle w:val="EndnoteText"/>
        <w:ind w:left="-288"/>
        <w:rPr>
          <w:sz w:val="18"/>
          <w:szCs w:val="18"/>
        </w:rPr>
      </w:pPr>
      <w:r w:rsidRPr="00E17C69">
        <w:rPr>
          <w:rStyle w:val="EndnoteReference"/>
          <w:sz w:val="18"/>
          <w:szCs w:val="18"/>
        </w:rPr>
        <w:endnoteRef/>
      </w:r>
      <w:r w:rsidRPr="00E17C69">
        <w:rPr>
          <w:sz w:val="18"/>
          <w:szCs w:val="18"/>
        </w:rPr>
        <w:t xml:space="preserve"> </w:t>
      </w:r>
      <w:hyperlink r:id="rId1">
        <w:r w:rsidRPr="00E17C69">
          <w:rPr>
            <w:rStyle w:val="Hyperlink"/>
            <w:sz w:val="18"/>
            <w:szCs w:val="18"/>
          </w:rPr>
          <w:t>ACL 16-24</w:t>
        </w:r>
      </w:hyperlink>
      <w:r w:rsidRPr="00E17C69">
        <w:rPr>
          <w:sz w:val="18"/>
          <w:szCs w:val="18"/>
        </w:rPr>
        <w:t xml:space="preserve"> CalFresh Summary of the ABAWD time limit; </w:t>
      </w:r>
      <w:hyperlink r:id="rId2">
        <w:r w:rsidRPr="00E17C69">
          <w:rPr>
            <w:rStyle w:val="Hyperlink"/>
            <w:sz w:val="18"/>
            <w:szCs w:val="18"/>
          </w:rPr>
          <w:t>MPP 63-410</w:t>
        </w:r>
      </w:hyperlink>
      <w:r w:rsidRPr="00E17C69">
        <w:rPr>
          <w:sz w:val="18"/>
          <w:szCs w:val="18"/>
        </w:rPr>
        <w:t xml:space="preserve"> Work Requirements for ABAWDs;  </w:t>
      </w:r>
      <w:hyperlink r:id="rId3">
        <w:r w:rsidRPr="00E17C69">
          <w:rPr>
            <w:rStyle w:val="Hyperlink"/>
            <w:sz w:val="18"/>
            <w:szCs w:val="18"/>
          </w:rPr>
          <w:t>7 CFR 273.24</w:t>
        </w:r>
      </w:hyperlink>
      <w:r w:rsidRPr="00E17C69">
        <w:rPr>
          <w:sz w:val="18"/>
          <w:szCs w:val="18"/>
        </w:rPr>
        <w:t xml:space="preserve"> Time Limit for Able-Bodied Adults; USDA FNS </w:t>
      </w:r>
      <w:hyperlink r:id="rId4">
        <w:r w:rsidRPr="00E17C69">
          <w:rPr>
            <w:rStyle w:val="Hyperlink"/>
            <w:sz w:val="18"/>
            <w:szCs w:val="18"/>
          </w:rPr>
          <w:t>ABAWD page</w:t>
        </w:r>
      </w:hyperlink>
      <w:r w:rsidRPr="00E17C69">
        <w:rPr>
          <w:sz w:val="18"/>
          <w:szCs w:val="18"/>
        </w:rPr>
        <w:t xml:space="preserve">; CDSS ABAWD Time Limit Handbook: </w:t>
      </w:r>
      <w:hyperlink r:id="rId5" w:history="1">
        <w:r w:rsidRPr="00E17C69">
          <w:rPr>
            <w:rStyle w:val="Hyperlink"/>
            <w:sz w:val="18"/>
            <w:szCs w:val="18"/>
          </w:rPr>
          <w:t>ACL 18-08</w:t>
        </w:r>
      </w:hyperlink>
    </w:p>
  </w:endnote>
  <w:endnote w:id="4">
    <w:p w14:paraId="03478B0A" w14:textId="58F41CB3" w:rsidR="00E17C69" w:rsidRPr="00E17C69" w:rsidRDefault="00E17C69" w:rsidP="00E17C69">
      <w:pPr>
        <w:pStyle w:val="EndnoteText"/>
        <w:ind w:left="-288"/>
      </w:pPr>
      <w:r>
        <w:rPr>
          <w:rStyle w:val="EndnoteReference"/>
        </w:rPr>
        <w:endnoteRef/>
      </w:r>
      <w:r>
        <w:t xml:space="preserve"> </w:t>
      </w:r>
      <w:r w:rsidRPr="00E17C69">
        <w:t xml:space="preserve">Coverage from CalMatters: </w:t>
      </w:r>
      <w:hyperlink r:id="rId6" w:history="1">
        <w:r w:rsidRPr="000838A1">
          <w:rPr>
            <w:rStyle w:val="Hyperlink"/>
          </w:rPr>
          <w:t>https://calmatters.org/poverty/2020/01/california-sues-trump-food-stamp-cuts-abawd/</w:t>
        </w:r>
      </w:hyperlink>
      <w:r>
        <w:t xml:space="preserve"> </w:t>
      </w:r>
    </w:p>
  </w:endnote>
  <w:endnote w:id="5">
    <w:p w14:paraId="79B43998" w14:textId="62198C9E" w:rsidR="00E17C69" w:rsidRPr="007C69A4" w:rsidRDefault="00E17C69" w:rsidP="007C69A4">
      <w:pPr>
        <w:pStyle w:val="EndnoteText"/>
        <w:ind w:left="-288"/>
        <w:rPr>
          <w:sz w:val="18"/>
          <w:szCs w:val="18"/>
        </w:rPr>
      </w:pPr>
      <w:r w:rsidRPr="007C69A4">
        <w:rPr>
          <w:rStyle w:val="EndnoteReference"/>
          <w:sz w:val="18"/>
          <w:szCs w:val="18"/>
        </w:rPr>
        <w:endnoteRef/>
      </w:r>
      <w:r w:rsidRPr="007C69A4">
        <w:rPr>
          <w:sz w:val="18"/>
          <w:szCs w:val="18"/>
        </w:rPr>
        <w:t xml:space="preserve"> </w:t>
      </w:r>
      <w:hyperlink r:id="rId7" w:history="1">
        <w:r w:rsidRPr="007C69A4">
          <w:rPr>
            <w:rStyle w:val="Hyperlink"/>
            <w:sz w:val="18"/>
            <w:szCs w:val="18"/>
          </w:rPr>
          <w:t>https://oag.ca.gov/news/press-releases/attorney-general-becerra-joins-multistate-lawsuit-challenging-federal-rule</w:t>
        </w:r>
      </w:hyperlink>
      <w:r w:rsidRPr="007C69A4">
        <w:rPr>
          <w:sz w:val="18"/>
          <w:szCs w:val="18"/>
        </w:rPr>
        <w:t xml:space="preserve">  </w:t>
      </w:r>
    </w:p>
    <w:p w14:paraId="4127BAC8" w14:textId="7CB53D3F" w:rsidR="00E17C69" w:rsidRPr="007C69A4" w:rsidRDefault="00E17C69" w:rsidP="007C69A4">
      <w:pPr>
        <w:pStyle w:val="EndnoteText"/>
        <w:ind w:left="-288"/>
        <w:rPr>
          <w:sz w:val="18"/>
          <w:szCs w:val="18"/>
        </w:rPr>
      </w:pPr>
      <w:r w:rsidRPr="007C69A4">
        <w:rPr>
          <w:sz w:val="18"/>
          <w:szCs w:val="18"/>
        </w:rPr>
        <w:t xml:space="preserve">and </w:t>
      </w:r>
      <w:hyperlink r:id="rId8" w:history="1">
        <w:r w:rsidRPr="007C69A4">
          <w:rPr>
            <w:rStyle w:val="Hyperlink"/>
            <w:sz w:val="18"/>
            <w:szCs w:val="18"/>
          </w:rPr>
          <w:t>https://oag.dc.gov/release/ag-racine-leads-multistate-lawsuit-stop-trump</w:t>
        </w:r>
      </w:hyperlink>
      <w:r w:rsidRPr="007C69A4">
        <w:rPr>
          <w:sz w:val="18"/>
          <w:szCs w:val="18"/>
        </w:rPr>
        <w:t xml:space="preserve"> </w:t>
      </w:r>
    </w:p>
  </w:endnote>
  <w:endnote w:id="6">
    <w:p w14:paraId="215B1B3A" w14:textId="5C27AF59" w:rsidR="00E17C69" w:rsidRPr="007C69A4" w:rsidRDefault="00E17C69" w:rsidP="007C69A4">
      <w:pPr>
        <w:pStyle w:val="EndnoteText"/>
        <w:ind w:left="-288"/>
        <w:rPr>
          <w:sz w:val="18"/>
          <w:szCs w:val="18"/>
        </w:rPr>
      </w:pPr>
      <w:r w:rsidRPr="007C69A4">
        <w:rPr>
          <w:rStyle w:val="EndnoteReference"/>
          <w:sz w:val="18"/>
          <w:szCs w:val="18"/>
        </w:rPr>
        <w:endnoteRef/>
      </w:r>
      <w:r w:rsidRPr="007C69A4">
        <w:rPr>
          <w:sz w:val="18"/>
          <w:szCs w:val="18"/>
        </w:rPr>
        <w:t xml:space="preserve"> Legal Aid of DC’s complaint: </w:t>
      </w:r>
      <w:hyperlink r:id="rId9" w:history="1">
        <w:r w:rsidRPr="007C69A4">
          <w:rPr>
            <w:rStyle w:val="Hyperlink"/>
            <w:sz w:val="18"/>
            <w:szCs w:val="18"/>
          </w:rPr>
          <w:t>https://www.legalaiddc.org/wp-content/uploads/2020/01/Complaint.pdf</w:t>
        </w:r>
      </w:hyperlink>
      <w:r w:rsidRPr="007C69A4">
        <w:rPr>
          <w:sz w:val="18"/>
          <w:szCs w:val="18"/>
        </w:rPr>
        <w:t xml:space="preserve">  and motion for preliminary injunction: </w:t>
      </w:r>
      <w:hyperlink r:id="rId10" w:history="1">
        <w:r w:rsidRPr="007C69A4">
          <w:rPr>
            <w:rStyle w:val="Hyperlink"/>
            <w:sz w:val="18"/>
            <w:szCs w:val="18"/>
          </w:rPr>
          <w:t>https://www.legalaiddc.org/wp-content/uploads/2020/01/motion.pdf</w:t>
        </w:r>
      </w:hyperlink>
      <w:r w:rsidRPr="007C69A4">
        <w:rPr>
          <w:sz w:val="18"/>
          <w:szCs w:val="18"/>
        </w:rPr>
        <w:t xml:space="preserve"> </w:t>
      </w:r>
    </w:p>
  </w:endnote>
  <w:endnote w:id="7">
    <w:p w14:paraId="3BAC4A0C" w14:textId="77777777" w:rsidR="002F4A29" w:rsidRPr="007C69A4" w:rsidRDefault="002F4A29" w:rsidP="007C69A4">
      <w:pPr>
        <w:pStyle w:val="EndnoteText"/>
        <w:ind w:left="-288"/>
        <w:rPr>
          <w:rFonts w:asciiTheme="majorHAnsi" w:hAnsiTheme="majorHAnsi"/>
          <w:sz w:val="18"/>
          <w:szCs w:val="18"/>
        </w:rPr>
      </w:pPr>
      <w:r w:rsidRPr="007C69A4">
        <w:rPr>
          <w:rStyle w:val="EndnoteReference"/>
          <w:rFonts w:asciiTheme="majorHAnsi" w:hAnsiTheme="majorHAnsi"/>
          <w:sz w:val="18"/>
          <w:szCs w:val="18"/>
        </w:rPr>
        <w:endnoteRef/>
      </w:r>
      <w:r w:rsidRPr="007C69A4">
        <w:rPr>
          <w:rFonts w:asciiTheme="majorHAnsi" w:hAnsiTheme="majorHAnsi"/>
          <w:sz w:val="18"/>
          <w:szCs w:val="18"/>
        </w:rPr>
        <w:t xml:space="preserve"> Public Law 104-193: </w:t>
      </w:r>
      <w:hyperlink r:id="rId11" w:history="1">
        <w:r w:rsidRPr="007C69A4">
          <w:rPr>
            <w:rStyle w:val="Hyperlink"/>
            <w:rFonts w:asciiTheme="majorHAnsi" w:hAnsiTheme="majorHAnsi"/>
            <w:sz w:val="18"/>
            <w:szCs w:val="18"/>
          </w:rPr>
          <w:t>http://www.gpo.gov/fdsys/pkg/PLAW-104publ193/html/PLAW-104publ193.htm</w:t>
        </w:r>
      </w:hyperlink>
      <w:r w:rsidRPr="007C69A4">
        <w:rPr>
          <w:rFonts w:asciiTheme="majorHAnsi" w:hAnsiTheme="majorHAnsi"/>
          <w:sz w:val="18"/>
          <w:szCs w:val="18"/>
        </w:rPr>
        <w:t xml:space="preserve"> </w:t>
      </w:r>
    </w:p>
  </w:endnote>
  <w:endnote w:id="8">
    <w:p w14:paraId="5BA17B16" w14:textId="77777777" w:rsidR="002F4A29" w:rsidRPr="007C69A4" w:rsidRDefault="002F4A29" w:rsidP="007C69A4">
      <w:pPr>
        <w:pStyle w:val="EndnoteText"/>
        <w:ind w:left="-288"/>
        <w:rPr>
          <w:rFonts w:asciiTheme="majorHAnsi" w:hAnsiTheme="majorHAnsi"/>
          <w:sz w:val="18"/>
          <w:szCs w:val="18"/>
        </w:rPr>
      </w:pPr>
      <w:r w:rsidRPr="007C69A4">
        <w:rPr>
          <w:rStyle w:val="EndnoteReference"/>
          <w:rFonts w:asciiTheme="majorHAnsi" w:hAnsiTheme="majorHAnsi"/>
          <w:sz w:val="18"/>
          <w:szCs w:val="18"/>
        </w:rPr>
        <w:endnoteRef/>
      </w:r>
      <w:r w:rsidRPr="007C69A4">
        <w:rPr>
          <w:rFonts w:asciiTheme="majorHAnsi" w:hAnsiTheme="majorHAnsi"/>
          <w:sz w:val="18"/>
          <w:szCs w:val="18"/>
        </w:rPr>
        <w:t xml:space="preserve"> 7 U.S.C. § 2015 (o); 7 C.F.R. § 273.24; MPP § 63-410.</w:t>
      </w:r>
    </w:p>
  </w:endnote>
  <w:endnote w:id="9">
    <w:p w14:paraId="5B478996" w14:textId="396FF9EA" w:rsidR="00BD4A90" w:rsidRPr="007C69A4" w:rsidRDefault="00BD4A90" w:rsidP="007C69A4">
      <w:pPr>
        <w:pStyle w:val="EndnoteText"/>
        <w:ind w:left="-288"/>
        <w:rPr>
          <w:rFonts w:asciiTheme="majorHAnsi" w:hAnsiTheme="majorHAnsi"/>
          <w:sz w:val="18"/>
          <w:szCs w:val="18"/>
        </w:rPr>
      </w:pPr>
      <w:r w:rsidRPr="007C69A4">
        <w:rPr>
          <w:rStyle w:val="EndnoteReference"/>
          <w:rFonts w:asciiTheme="majorHAnsi" w:hAnsiTheme="majorHAnsi"/>
          <w:sz w:val="18"/>
          <w:szCs w:val="18"/>
        </w:rPr>
        <w:endnoteRef/>
      </w:r>
      <w:r w:rsidRPr="007C69A4">
        <w:rPr>
          <w:rFonts w:asciiTheme="majorHAnsi" w:hAnsiTheme="majorHAnsi"/>
          <w:sz w:val="18"/>
          <w:szCs w:val="18"/>
        </w:rPr>
        <w:t xml:space="preserve"> </w:t>
      </w:r>
      <w:hyperlink r:id="rId12" w:history="1">
        <w:r w:rsidRPr="007C69A4">
          <w:rPr>
            <w:rStyle w:val="Hyperlink"/>
            <w:rFonts w:asciiTheme="majorHAnsi" w:hAnsiTheme="majorHAnsi"/>
            <w:sz w:val="18"/>
            <w:szCs w:val="18"/>
          </w:rPr>
          <w:t>H.R. 1276</w:t>
        </w:r>
      </w:hyperlink>
      <w:r w:rsidRPr="007C69A4">
        <w:rPr>
          <w:rFonts w:asciiTheme="majorHAnsi" w:hAnsiTheme="majorHAnsi"/>
          <w:sz w:val="18"/>
          <w:szCs w:val="18"/>
        </w:rPr>
        <w:t xml:space="preserve"> (</w:t>
      </w:r>
      <w:hyperlink r:id="rId13" w:tgtFrame="_blank" w:history="1">
        <w:r w:rsidRPr="007C69A4">
          <w:rPr>
            <w:rStyle w:val="Hyperlink"/>
            <w:rFonts w:asciiTheme="majorHAnsi" w:hAnsiTheme="majorHAnsi"/>
            <w:sz w:val="18"/>
            <w:szCs w:val="18"/>
          </w:rPr>
          <w:t>Rep. Adams, Alma S. [D-NC-12]</w:t>
        </w:r>
      </w:hyperlink>
      <w:r w:rsidRPr="007C69A4">
        <w:rPr>
          <w:rFonts w:asciiTheme="majorHAnsi" w:hAnsiTheme="majorHAnsi"/>
          <w:sz w:val="18"/>
          <w:szCs w:val="18"/>
        </w:rPr>
        <w:t xml:space="preserve">  </w:t>
      </w:r>
      <w:hyperlink r:id="rId14" w:anchor="tabs" w:history="1">
        <w:r w:rsidRPr="007C69A4">
          <w:rPr>
            <w:rStyle w:val="Hyperlink"/>
            <w:rFonts w:asciiTheme="majorHAnsi" w:hAnsiTheme="majorHAnsi"/>
            <w:sz w:val="18"/>
            <w:szCs w:val="18"/>
          </w:rPr>
          <w:t>+ 89 Co-sponsors</w:t>
        </w:r>
      </w:hyperlink>
      <w:r w:rsidRPr="007C69A4">
        <w:rPr>
          <w:rFonts w:asciiTheme="majorHAnsi" w:hAnsiTheme="majorHAnsi"/>
          <w:sz w:val="18"/>
          <w:szCs w:val="18"/>
        </w:rPr>
        <w:t xml:space="preserve">) would require that a job opportunity be provided before </w:t>
      </w:r>
      <w:r w:rsidR="00924181" w:rsidRPr="007C69A4">
        <w:rPr>
          <w:rFonts w:asciiTheme="majorHAnsi" w:hAnsiTheme="majorHAnsi"/>
          <w:sz w:val="18"/>
          <w:szCs w:val="18"/>
        </w:rPr>
        <w:t>benefits cut.</w:t>
      </w:r>
    </w:p>
  </w:endnote>
  <w:endnote w:id="10">
    <w:p w14:paraId="62762B76" w14:textId="77777777" w:rsidR="00BD4A90" w:rsidRPr="007C69A4" w:rsidRDefault="00BD4A90" w:rsidP="007C69A4">
      <w:pPr>
        <w:pStyle w:val="EndnoteText"/>
        <w:ind w:left="-288"/>
        <w:rPr>
          <w:rFonts w:asciiTheme="majorHAnsi" w:hAnsiTheme="majorHAnsi"/>
          <w:sz w:val="18"/>
          <w:szCs w:val="18"/>
        </w:rPr>
      </w:pPr>
      <w:r w:rsidRPr="007C69A4">
        <w:rPr>
          <w:rStyle w:val="EndnoteReference"/>
          <w:rFonts w:asciiTheme="majorHAnsi" w:hAnsiTheme="majorHAnsi"/>
          <w:sz w:val="18"/>
          <w:szCs w:val="18"/>
        </w:rPr>
        <w:endnoteRef/>
      </w:r>
      <w:r w:rsidRPr="007C69A4">
        <w:rPr>
          <w:rFonts w:asciiTheme="majorHAnsi" w:hAnsiTheme="majorHAnsi"/>
          <w:sz w:val="18"/>
          <w:szCs w:val="18"/>
        </w:rPr>
        <w:t xml:space="preserve"> Ed Bolen, “Approximately 1 Million Unemployed Childless Adults Will Lose SNAP Benefits in 2016 as State Waivers Expire Affected Individuals Are Very Poor; Few Qualify for Other Help,” (Jan. 2015)  </w:t>
      </w:r>
      <w:hyperlink r:id="rId15" w:history="1">
        <w:r w:rsidRPr="007C69A4">
          <w:rPr>
            <w:rStyle w:val="Hyperlink"/>
            <w:rFonts w:asciiTheme="majorHAnsi" w:hAnsiTheme="majorHAnsi"/>
            <w:sz w:val="18"/>
            <w:szCs w:val="18"/>
          </w:rPr>
          <w:t>http://www.cbpp.org/cms/?fa=view&amp;id=5251</w:t>
        </w:r>
      </w:hyperlink>
      <w:r w:rsidRPr="007C69A4">
        <w:rPr>
          <w:rFonts w:asciiTheme="majorHAnsi" w:hAnsiTheme="majorHAnsi"/>
          <w:sz w:val="18"/>
          <w:szCs w:val="18"/>
        </w:rPr>
        <w:t xml:space="preserve">  </w:t>
      </w:r>
    </w:p>
  </w:endnote>
  <w:endnote w:id="11">
    <w:p w14:paraId="49B3E86D" w14:textId="36DE6129" w:rsidR="007C69A4" w:rsidRPr="007C69A4" w:rsidRDefault="007C69A4" w:rsidP="007C69A4">
      <w:pPr>
        <w:pStyle w:val="EndnoteText"/>
        <w:ind w:left="-288"/>
        <w:rPr>
          <w:sz w:val="18"/>
          <w:szCs w:val="18"/>
        </w:rPr>
      </w:pPr>
      <w:r w:rsidRPr="007C69A4">
        <w:rPr>
          <w:rStyle w:val="EndnoteReference"/>
          <w:sz w:val="18"/>
          <w:szCs w:val="18"/>
        </w:rPr>
        <w:endnoteRef/>
      </w:r>
      <w:r w:rsidRPr="007C69A4">
        <w:rPr>
          <w:sz w:val="18"/>
          <w:szCs w:val="18"/>
        </w:rPr>
        <w:t xml:space="preserve"> Public Law 104-193: </w:t>
      </w:r>
      <w:hyperlink r:id="rId16" w:history="1">
        <w:r w:rsidRPr="007C69A4">
          <w:rPr>
            <w:rStyle w:val="Hyperlink"/>
            <w:sz w:val="18"/>
            <w:szCs w:val="18"/>
          </w:rPr>
          <w:t>http://www.gpo.gov/fdsys/pkg/PLAW-104publ193/html/PLAW-104publ193.htm</w:t>
        </w:r>
      </w:hyperlink>
      <w:r w:rsidRPr="007C69A4">
        <w:rPr>
          <w:sz w:val="18"/>
          <w:szCs w:val="18"/>
        </w:rPr>
        <w:t xml:space="preserve">    </w:t>
      </w:r>
    </w:p>
  </w:endnote>
  <w:endnote w:id="12">
    <w:p w14:paraId="759CE229" w14:textId="029F8132" w:rsidR="007C69A4" w:rsidRPr="007C69A4" w:rsidRDefault="007C69A4" w:rsidP="007C69A4">
      <w:pPr>
        <w:pStyle w:val="EndnoteText"/>
        <w:ind w:left="-288"/>
        <w:rPr>
          <w:sz w:val="18"/>
          <w:szCs w:val="18"/>
        </w:rPr>
      </w:pPr>
      <w:r w:rsidRPr="007C69A4">
        <w:rPr>
          <w:rStyle w:val="EndnoteReference"/>
          <w:sz w:val="18"/>
          <w:szCs w:val="18"/>
        </w:rPr>
        <w:endnoteRef/>
      </w:r>
      <w:r w:rsidRPr="007C69A4">
        <w:rPr>
          <w:sz w:val="18"/>
          <w:szCs w:val="18"/>
        </w:rPr>
        <w:t xml:space="preserve"> </w:t>
      </w:r>
      <w:hyperlink r:id="rId17" w:history="1">
        <w:r w:rsidRPr="007C69A4">
          <w:rPr>
            <w:rStyle w:val="Hyperlink"/>
            <w:sz w:val="18"/>
            <w:szCs w:val="18"/>
          </w:rPr>
          <w:t>https://www.congress.gov/bill/116th-congress/house-bill/1368/cosponsors?searchResultViewType=expanded&amp;KWICView=false</w:t>
        </w:r>
      </w:hyperlink>
      <w:r w:rsidRPr="007C69A4">
        <w:rPr>
          <w:sz w:val="18"/>
          <w:szCs w:val="18"/>
        </w:rPr>
        <w:t xml:space="preserve"> </w:t>
      </w:r>
    </w:p>
  </w:endnote>
  <w:endnote w:id="13">
    <w:p w14:paraId="61C70651" w14:textId="1AB0F83B" w:rsidR="007C69A4" w:rsidRDefault="007C69A4" w:rsidP="007C69A4">
      <w:pPr>
        <w:pStyle w:val="EndnoteText"/>
        <w:ind w:left="-288"/>
      </w:pPr>
      <w:r w:rsidRPr="007C69A4">
        <w:rPr>
          <w:rStyle w:val="EndnoteReference"/>
          <w:sz w:val="18"/>
          <w:szCs w:val="18"/>
        </w:rPr>
        <w:endnoteRef/>
      </w:r>
      <w:r w:rsidRPr="007C69A4">
        <w:rPr>
          <w:sz w:val="18"/>
          <w:szCs w:val="18"/>
        </w:rPr>
        <w:t xml:space="preserve"> Our coalition support letter is: </w:t>
      </w:r>
      <w:hyperlink r:id="rId18" w:history="1">
        <w:r w:rsidRPr="007C69A4">
          <w:rPr>
            <w:rStyle w:val="Hyperlink"/>
            <w:sz w:val="18"/>
            <w:szCs w:val="18"/>
          </w:rPr>
          <w:t>https://wclp.org/wp-content/uploads/2019/05/CA_Orgs_Endorse_ABAWD_SNAP_Repeal_Lee_2019_Logos_Final.pdf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D56CE" w14:textId="77777777" w:rsidR="001A4149" w:rsidRDefault="001A4149" w:rsidP="001A4149">
    <w:pPr>
      <w:pStyle w:val="Footer"/>
      <w:ind w:right="-28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C022B" w14:textId="77777777" w:rsidR="00D3782A" w:rsidRDefault="00D378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06CA" w14:textId="77777777" w:rsidR="00D3782A" w:rsidRDefault="00D37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FCE8" w14:textId="77777777" w:rsidR="002935AC" w:rsidRDefault="002935AC">
      <w:pPr>
        <w:spacing w:after="0" w:line="240" w:lineRule="auto"/>
      </w:pPr>
      <w:r>
        <w:separator/>
      </w:r>
    </w:p>
  </w:footnote>
  <w:footnote w:type="continuationSeparator" w:id="0">
    <w:p w14:paraId="17A4A642" w14:textId="77777777" w:rsidR="002935AC" w:rsidRDefault="00293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C0A7" w14:textId="4706CBB3" w:rsidR="00D3782A" w:rsidRDefault="00D37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7D37" w14:textId="6AC1789A" w:rsidR="00AD393F" w:rsidRDefault="00AD393F" w:rsidP="00AD393F">
    <w:pPr>
      <w:pBdr>
        <w:top w:val="nil"/>
        <w:left w:val="nil"/>
        <w:bottom w:val="nil"/>
        <w:right w:val="nil"/>
        <w:between w:val="nil"/>
      </w:pBdr>
      <w:tabs>
        <w:tab w:val="center" w:pos="4680"/>
        <w:tab w:val="right" w:pos="9360"/>
      </w:tabs>
      <w:spacing w:after="0" w:line="240" w:lineRule="auto"/>
      <w:ind w:left="-288" w:right="-288"/>
      <w:rPr>
        <w:color w:val="000000"/>
      </w:rPr>
    </w:pPr>
    <w:r>
      <w:rPr>
        <w:color w:val="000000"/>
      </w:rPr>
      <w:t xml:space="preserve">Western Center on Law and Poverty – SNAP / CalFresh ABAWD Time Limit Summary </w:t>
    </w:r>
    <w:r>
      <w:rPr>
        <w:color w:val="000000"/>
      </w:rPr>
      <w:tab/>
      <w:t xml:space="preserve">                             January 2020</w:t>
    </w:r>
  </w:p>
  <w:p w14:paraId="3D4253E0" w14:textId="77777777" w:rsidR="001A4149" w:rsidRDefault="001A4149" w:rsidP="00AD393F">
    <w:pPr>
      <w:pStyle w:val="Header"/>
      <w:ind w:right="-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7CED7" w14:textId="71E7070F" w:rsidR="00D3782A" w:rsidRDefault="00D37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40F9"/>
    <w:multiLevelType w:val="multilevel"/>
    <w:tmpl w:val="85DE1B30"/>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403E60"/>
    <w:multiLevelType w:val="multilevel"/>
    <w:tmpl w:val="51EA0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4A48B2"/>
    <w:multiLevelType w:val="multilevel"/>
    <w:tmpl w:val="0B286892"/>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255BB5"/>
    <w:multiLevelType w:val="multilevel"/>
    <w:tmpl w:val="EB2C7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5206D"/>
    <w:multiLevelType w:val="multilevel"/>
    <w:tmpl w:val="3F447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951D0F"/>
    <w:multiLevelType w:val="hybridMultilevel"/>
    <w:tmpl w:val="42844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3C"/>
    <w:rsid w:val="00087642"/>
    <w:rsid w:val="000A554A"/>
    <w:rsid w:val="000B1115"/>
    <w:rsid w:val="001A4149"/>
    <w:rsid w:val="001C6B4D"/>
    <w:rsid w:val="002715FC"/>
    <w:rsid w:val="00275501"/>
    <w:rsid w:val="002935AC"/>
    <w:rsid w:val="002A3919"/>
    <w:rsid w:val="002B2D35"/>
    <w:rsid w:val="002B60B6"/>
    <w:rsid w:val="002C33D9"/>
    <w:rsid w:val="002F074E"/>
    <w:rsid w:val="002F4A29"/>
    <w:rsid w:val="00303F6A"/>
    <w:rsid w:val="003246D6"/>
    <w:rsid w:val="003C58F2"/>
    <w:rsid w:val="003E3D32"/>
    <w:rsid w:val="004112EB"/>
    <w:rsid w:val="00423EB2"/>
    <w:rsid w:val="004321FE"/>
    <w:rsid w:val="00455445"/>
    <w:rsid w:val="00464D6A"/>
    <w:rsid w:val="00486D5D"/>
    <w:rsid w:val="004D77EC"/>
    <w:rsid w:val="00561681"/>
    <w:rsid w:val="00562164"/>
    <w:rsid w:val="005E5BF7"/>
    <w:rsid w:val="00606A5E"/>
    <w:rsid w:val="00626D4A"/>
    <w:rsid w:val="006554BF"/>
    <w:rsid w:val="00664CA7"/>
    <w:rsid w:val="006750FE"/>
    <w:rsid w:val="006F33FD"/>
    <w:rsid w:val="00717226"/>
    <w:rsid w:val="00717FD9"/>
    <w:rsid w:val="007C69A4"/>
    <w:rsid w:val="007D34CF"/>
    <w:rsid w:val="007E133D"/>
    <w:rsid w:val="0083126E"/>
    <w:rsid w:val="0085527B"/>
    <w:rsid w:val="0086276C"/>
    <w:rsid w:val="00884062"/>
    <w:rsid w:val="008C203C"/>
    <w:rsid w:val="008D23F0"/>
    <w:rsid w:val="008E7D7E"/>
    <w:rsid w:val="00924181"/>
    <w:rsid w:val="009C1DDB"/>
    <w:rsid w:val="009F118E"/>
    <w:rsid w:val="00A65CE4"/>
    <w:rsid w:val="00AB5DD9"/>
    <w:rsid w:val="00AD121D"/>
    <w:rsid w:val="00AD393F"/>
    <w:rsid w:val="00B3720A"/>
    <w:rsid w:val="00B435DB"/>
    <w:rsid w:val="00B4576E"/>
    <w:rsid w:val="00B74CAD"/>
    <w:rsid w:val="00BB318A"/>
    <w:rsid w:val="00BD437F"/>
    <w:rsid w:val="00BD4A90"/>
    <w:rsid w:val="00BE33A8"/>
    <w:rsid w:val="00BF1B34"/>
    <w:rsid w:val="00BF34C0"/>
    <w:rsid w:val="00C61FA6"/>
    <w:rsid w:val="00C71515"/>
    <w:rsid w:val="00D3782A"/>
    <w:rsid w:val="00D66587"/>
    <w:rsid w:val="00DD7F69"/>
    <w:rsid w:val="00E020E8"/>
    <w:rsid w:val="00E17C69"/>
    <w:rsid w:val="00E65403"/>
    <w:rsid w:val="00E9210A"/>
    <w:rsid w:val="00EB1E19"/>
    <w:rsid w:val="00EB2A99"/>
    <w:rsid w:val="00EB4C9F"/>
    <w:rsid w:val="00EC6927"/>
    <w:rsid w:val="00F06352"/>
    <w:rsid w:val="00F14E16"/>
    <w:rsid w:val="00F17245"/>
    <w:rsid w:val="00F251DD"/>
    <w:rsid w:val="00F509D2"/>
    <w:rsid w:val="00F660E8"/>
    <w:rsid w:val="00F71B1D"/>
    <w:rsid w:val="00F94BA5"/>
    <w:rsid w:val="00FB433E"/>
    <w:rsid w:val="00FD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8C456"/>
  <w15:docId w15:val="{E3F541EA-21AC-4DEE-AF5E-4B7A66D5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1FA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3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19"/>
    <w:rPr>
      <w:rFonts w:ascii="Segoe UI" w:hAnsi="Segoe UI" w:cs="Segoe UI"/>
      <w:sz w:val="18"/>
      <w:szCs w:val="18"/>
    </w:rPr>
  </w:style>
  <w:style w:type="paragraph" w:styleId="Header">
    <w:name w:val="header"/>
    <w:basedOn w:val="Normal"/>
    <w:link w:val="HeaderChar"/>
    <w:uiPriority w:val="99"/>
    <w:unhideWhenUsed/>
    <w:rsid w:val="002A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919"/>
  </w:style>
  <w:style w:type="paragraph" w:styleId="Footer">
    <w:name w:val="footer"/>
    <w:basedOn w:val="Normal"/>
    <w:link w:val="FooterChar"/>
    <w:uiPriority w:val="99"/>
    <w:unhideWhenUsed/>
    <w:rsid w:val="002A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919"/>
  </w:style>
  <w:style w:type="paragraph" w:styleId="NormalWeb">
    <w:name w:val="Normal (Web)"/>
    <w:basedOn w:val="Normal"/>
    <w:uiPriority w:val="99"/>
    <w:semiHidden/>
    <w:unhideWhenUsed/>
    <w:rsid w:val="00626D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26D4A"/>
    <w:rPr>
      <w:b/>
      <w:bCs/>
    </w:rPr>
  </w:style>
  <w:style w:type="character" w:customStyle="1" w:styleId="CommentSubjectChar">
    <w:name w:val="Comment Subject Char"/>
    <w:basedOn w:val="CommentTextChar"/>
    <w:link w:val="CommentSubject"/>
    <w:uiPriority w:val="99"/>
    <w:semiHidden/>
    <w:rsid w:val="00626D4A"/>
    <w:rPr>
      <w:b/>
      <w:bCs/>
      <w:sz w:val="20"/>
      <w:szCs w:val="20"/>
    </w:rPr>
  </w:style>
  <w:style w:type="paragraph" w:styleId="ListParagraph">
    <w:name w:val="List Paragraph"/>
    <w:basedOn w:val="Normal"/>
    <w:uiPriority w:val="34"/>
    <w:qFormat/>
    <w:rsid w:val="00F71B1D"/>
    <w:pPr>
      <w:ind w:left="720"/>
      <w:contextualSpacing/>
    </w:pPr>
  </w:style>
  <w:style w:type="character" w:styleId="Hyperlink">
    <w:name w:val="Hyperlink"/>
    <w:basedOn w:val="DefaultParagraphFont"/>
    <w:unhideWhenUsed/>
    <w:rsid w:val="00B74CAD"/>
    <w:rPr>
      <w:color w:val="0000FF" w:themeColor="hyperlink"/>
      <w:u w:val="single"/>
    </w:rPr>
  </w:style>
  <w:style w:type="paragraph" w:styleId="FootnoteText">
    <w:name w:val="footnote text"/>
    <w:basedOn w:val="Normal"/>
    <w:link w:val="FootnoteTextChar"/>
    <w:uiPriority w:val="99"/>
    <w:semiHidden/>
    <w:unhideWhenUsed/>
    <w:rsid w:val="00B43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5DB"/>
    <w:rPr>
      <w:sz w:val="20"/>
      <w:szCs w:val="20"/>
    </w:rPr>
  </w:style>
  <w:style w:type="character" w:styleId="FootnoteReference">
    <w:name w:val="footnote reference"/>
    <w:basedOn w:val="DefaultParagraphFont"/>
    <w:uiPriority w:val="99"/>
    <w:unhideWhenUsed/>
    <w:rsid w:val="00B435DB"/>
    <w:rPr>
      <w:vertAlign w:val="superscript"/>
    </w:rPr>
  </w:style>
  <w:style w:type="paragraph" w:styleId="EndnoteText">
    <w:name w:val="endnote text"/>
    <w:basedOn w:val="Normal"/>
    <w:link w:val="EndnoteTextChar"/>
    <w:uiPriority w:val="99"/>
    <w:semiHidden/>
    <w:unhideWhenUsed/>
    <w:rsid w:val="00BD4A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A90"/>
    <w:rPr>
      <w:sz w:val="20"/>
      <w:szCs w:val="20"/>
    </w:rPr>
  </w:style>
  <w:style w:type="character" w:styleId="EndnoteReference">
    <w:name w:val="endnote reference"/>
    <w:basedOn w:val="DefaultParagraphFont"/>
    <w:uiPriority w:val="99"/>
    <w:unhideWhenUsed/>
    <w:rsid w:val="00BD4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9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foodbanks.org/abaw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afoodbanks.org/abawd"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dozier@wcl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bartholow\Desktop\Local%20desktop%20folder%20not%20on%20server%20-%20won't%20be%20backed%20up\ABAWD%20Time%20Limit\:%20https:\wclp.org\western-center-submits-comments-opposing-proposed-change-to-requirements-for-able-bodied-adults-without-dependents-abawds-who-receive-supplemental-nutrition-assistance-program-snap-benefi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bartholow@wclp.org"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clp.org"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oag.dc.gov/release/ag-racine-leads-multistate-lawsuit-stop-trump" TargetMode="External"/><Relationship Id="rId13" Type="http://schemas.openxmlformats.org/officeDocument/2006/relationships/hyperlink" Target="https://www.congress.gov/member/alma-adams/A000370?q=%7B%22search%22%3A%5B%22H.R.+1276%22%5D%7D" TargetMode="External"/><Relationship Id="rId18" Type="http://schemas.openxmlformats.org/officeDocument/2006/relationships/hyperlink" Target="https://wclp.org/wp-content/uploads/2019/05/CA_Orgs_Endorse_ABAWD_SNAP_Repeal_Lee_2019_Logos_Final.pdf" TargetMode="External"/><Relationship Id="rId3" Type="http://schemas.openxmlformats.org/officeDocument/2006/relationships/hyperlink" Target="https://www.ecfr.gov/cgi-bin/text-idx?SID=4722833cff55dd9b44460be65406c33d&amp;mc=true&amp;node=se7.4.273_124&amp;rgn=div8" TargetMode="External"/><Relationship Id="rId7" Type="http://schemas.openxmlformats.org/officeDocument/2006/relationships/hyperlink" Target="https://oag.ca.gov/news/press-releases/attorney-general-becerra-joins-multistate-lawsuit-challenging-federal-rule" TargetMode="External"/><Relationship Id="rId12" Type="http://schemas.openxmlformats.org/officeDocument/2006/relationships/hyperlink" Target="https://www.congress.gov/bill/115th-congress/house-bill/1276?q=%7B%22search%22%3A%5B%22H.R.+1276%22%5D%7D&amp;r=1" TargetMode="External"/><Relationship Id="rId17" Type="http://schemas.openxmlformats.org/officeDocument/2006/relationships/hyperlink" Target="https://www.congress.gov/bill/116th-congress/house-bill/1368/cosponsors?searchResultViewType=expanded&amp;KWICView=false" TargetMode="External"/><Relationship Id="rId2" Type="http://schemas.openxmlformats.org/officeDocument/2006/relationships/hyperlink" Target="http://www.cdss.ca.gov/foodstamps/entres/getinfo/pdf/fsman4b.pdf" TargetMode="External"/><Relationship Id="rId16" Type="http://schemas.openxmlformats.org/officeDocument/2006/relationships/hyperlink" Target="http://www.gpo.gov/fdsys/pkg/PLAW-104publ193/html/PLAW-104publ193.htm" TargetMode="External"/><Relationship Id="rId1" Type="http://schemas.openxmlformats.org/officeDocument/2006/relationships/hyperlink" Target="http://www.cdss.ca.gov/lettersnotices/EntRes/getinfo/acl/2016/16-24.pdf" TargetMode="External"/><Relationship Id="rId6" Type="http://schemas.openxmlformats.org/officeDocument/2006/relationships/hyperlink" Target="https://calmatters.org/poverty/2020/01/california-sues-trump-food-stamp-cuts-abawd/" TargetMode="External"/><Relationship Id="rId11" Type="http://schemas.openxmlformats.org/officeDocument/2006/relationships/hyperlink" Target="http://www.gpo.gov/fdsys/pkg/PLAW-104publ193/html/PLAW-104publ193.htm" TargetMode="External"/><Relationship Id="rId5" Type="http://schemas.openxmlformats.org/officeDocument/2006/relationships/hyperlink" Target="http://www.cdss.ca.gov/Portals/9/ACL/2018/18-08.pdf" TargetMode="External"/><Relationship Id="rId15" Type="http://schemas.openxmlformats.org/officeDocument/2006/relationships/hyperlink" Target="http://www.cbpp.org/cms/?fa=view&amp;id=5251" TargetMode="External"/><Relationship Id="rId10" Type="http://schemas.openxmlformats.org/officeDocument/2006/relationships/hyperlink" Target="https://www.legalaiddc.org/wp-content/uploads/2020/01/motion.pdf" TargetMode="External"/><Relationship Id="rId4" Type="http://schemas.openxmlformats.org/officeDocument/2006/relationships/hyperlink" Target="https://www.fns.usda.gov/snap/able-bodied-adults-without-dependents-abawds" TargetMode="External"/><Relationship Id="rId9" Type="http://schemas.openxmlformats.org/officeDocument/2006/relationships/hyperlink" Target="https://www.legalaiddc.org/wp-content/uploads/2020/01/Complaint.pdf" TargetMode="External"/><Relationship Id="rId14" Type="http://schemas.openxmlformats.org/officeDocument/2006/relationships/hyperlink" Target="https://www.congress.gov/bill/115th-congress/house-bill/1276/cosponsors?q=%7B%22search%22%3A%5B%22H.R.+1276%22%5D%7D&amp;r=1&amp;overview=clo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7984-508D-4B62-8B00-BA404EA9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Martinez</dc:creator>
  <cp:keywords/>
  <dc:description/>
  <cp:lastModifiedBy>Becky Gershon</cp:lastModifiedBy>
  <cp:revision>2</cp:revision>
  <dcterms:created xsi:type="dcterms:W3CDTF">2020-02-03T18:29:00Z</dcterms:created>
  <dcterms:modified xsi:type="dcterms:W3CDTF">2020-02-03T18:29:00Z</dcterms:modified>
</cp:coreProperties>
</file>